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AC" w:rsidRPr="001A67AC" w:rsidRDefault="001A67AC" w:rsidP="001A67AC">
      <w:pPr>
        <w:ind w:left="360"/>
        <w:jc w:val="center"/>
        <w:rPr>
          <w:b/>
        </w:rPr>
      </w:pPr>
      <w:r w:rsidRPr="001A67AC">
        <w:rPr>
          <w:b/>
        </w:rPr>
        <w:t xml:space="preserve">EC304Z INTERNATIONAL ECONOMICS II </w:t>
      </w:r>
      <w:bookmarkStart w:id="0" w:name="_GoBack"/>
      <w:bookmarkEnd w:id="0"/>
    </w:p>
    <w:p w:rsidR="001A67AC" w:rsidRPr="001A67AC" w:rsidRDefault="001A67AC" w:rsidP="001A67AC">
      <w:pPr>
        <w:ind w:left="360"/>
        <w:jc w:val="center"/>
        <w:rPr>
          <w:b/>
        </w:rPr>
      </w:pPr>
      <w:r w:rsidRPr="001A67AC">
        <w:rPr>
          <w:b/>
        </w:rPr>
        <w:t>Problem Set I</w:t>
      </w:r>
    </w:p>
    <w:p w:rsidR="001A67AC" w:rsidRDefault="001A67AC" w:rsidP="001A67AC">
      <w:pPr>
        <w:ind w:left="360"/>
      </w:pPr>
      <w:r>
        <w:t>Prof.Dr. Nihal Tuncer Terregrossa</w:t>
      </w:r>
    </w:p>
    <w:p w:rsidR="00723A71" w:rsidRDefault="00BF4614" w:rsidP="0093351A">
      <w:pPr>
        <w:pStyle w:val="ListParagraph"/>
        <w:numPr>
          <w:ilvl w:val="0"/>
          <w:numId w:val="1"/>
        </w:numPr>
      </w:pPr>
      <w:r>
        <w:t xml:space="preserve">Refer to the Balance of Payments </w:t>
      </w:r>
      <w:r w:rsidR="00B31F83">
        <w:t>Table for Turkey for January 2016 and January 2017.</w:t>
      </w:r>
      <w:r>
        <w:t xml:space="preserve"> </w:t>
      </w:r>
      <w:r w:rsidR="0094588B">
        <w:t>Calcul</w:t>
      </w:r>
      <w:r w:rsidR="00B31F83">
        <w:t>ate the following for these two months</w:t>
      </w:r>
      <w:r w:rsidR="0093351A">
        <w:t>:</w:t>
      </w:r>
    </w:p>
    <w:p w:rsidR="0093351A" w:rsidRDefault="0093351A" w:rsidP="0093351A">
      <w:pPr>
        <w:pStyle w:val="ListParagraph"/>
        <w:numPr>
          <w:ilvl w:val="0"/>
          <w:numId w:val="2"/>
        </w:numPr>
      </w:pPr>
      <w:r>
        <w:t>the balance on trade</w:t>
      </w:r>
    </w:p>
    <w:p w:rsidR="0093351A" w:rsidRDefault="0093351A" w:rsidP="0093351A">
      <w:pPr>
        <w:pStyle w:val="ListParagraph"/>
        <w:numPr>
          <w:ilvl w:val="0"/>
          <w:numId w:val="2"/>
        </w:numPr>
      </w:pPr>
      <w:r>
        <w:t>the balance on services</w:t>
      </w:r>
    </w:p>
    <w:p w:rsidR="0093351A" w:rsidRDefault="0093351A" w:rsidP="0093351A">
      <w:pPr>
        <w:pStyle w:val="ListParagraph"/>
        <w:numPr>
          <w:ilvl w:val="0"/>
          <w:numId w:val="2"/>
        </w:numPr>
      </w:pPr>
      <w:r>
        <w:t>the balance on income</w:t>
      </w:r>
    </w:p>
    <w:p w:rsidR="0093351A" w:rsidRDefault="0093351A" w:rsidP="0093351A">
      <w:pPr>
        <w:pStyle w:val="ListParagraph"/>
        <w:numPr>
          <w:ilvl w:val="0"/>
          <w:numId w:val="2"/>
        </w:numPr>
      </w:pPr>
      <w:r>
        <w:t>the current account</w:t>
      </w:r>
    </w:p>
    <w:p w:rsidR="00BF4614" w:rsidRDefault="0093351A" w:rsidP="0093351A">
      <w:pPr>
        <w:pStyle w:val="ListParagraph"/>
        <w:numPr>
          <w:ilvl w:val="0"/>
          <w:numId w:val="2"/>
        </w:numPr>
      </w:pPr>
      <w:r>
        <w:t>Which of these items indicate a deficit? A surplus?</w:t>
      </w:r>
    </w:p>
    <w:p w:rsidR="00415C13" w:rsidRDefault="00415C13" w:rsidP="00415C13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Refer to the Balance of Payments Table for Turkey for January 2016 and January 2017.</w:t>
      </w:r>
    </w:p>
    <w:p w:rsidR="00415C13" w:rsidRDefault="00415C13" w:rsidP="00415C13">
      <w:pPr>
        <w:pStyle w:val="ListParagraph"/>
        <w:numPr>
          <w:ilvl w:val="0"/>
          <w:numId w:val="10"/>
        </w:numPr>
      </w:pPr>
      <w:r>
        <w:t>What is tourism revenue?</w:t>
      </w:r>
    </w:p>
    <w:p w:rsidR="00415C13" w:rsidRDefault="00415C13" w:rsidP="00415C13">
      <w:pPr>
        <w:pStyle w:val="ListParagraph"/>
        <w:numPr>
          <w:ilvl w:val="0"/>
          <w:numId w:val="10"/>
        </w:numPr>
      </w:pPr>
      <w:r>
        <w:t>Does the balance on investment income indicate an inflow or outflow of income?</w:t>
      </w:r>
    </w:p>
    <w:p w:rsidR="00415C13" w:rsidRDefault="00415C13" w:rsidP="00415C13">
      <w:pPr>
        <w:pStyle w:val="ListParagraph"/>
        <w:numPr>
          <w:ilvl w:val="0"/>
          <w:numId w:val="10"/>
        </w:numPr>
      </w:pPr>
      <w:r>
        <w:t>What are the items that constitute investment income?</w:t>
      </w:r>
    </w:p>
    <w:p w:rsidR="00415C13" w:rsidRPr="004902FB" w:rsidRDefault="00415C13" w:rsidP="00415C13">
      <w:pPr>
        <w:pStyle w:val="ListParagraph"/>
        <w:numPr>
          <w:ilvl w:val="0"/>
          <w:numId w:val="10"/>
        </w:numPr>
      </w:pPr>
      <w:r>
        <w:t>What information regarding capital flows in and out of Turkey can we infer from investment income data  ?</w:t>
      </w:r>
    </w:p>
    <w:p w:rsidR="00415C13" w:rsidRDefault="00415C13" w:rsidP="00415C13">
      <w:pPr>
        <w:pStyle w:val="ListParagraph"/>
        <w:ind w:left="1080"/>
      </w:pPr>
    </w:p>
    <w:p w:rsidR="000505CE" w:rsidRDefault="000505CE" w:rsidP="000505CE">
      <w:pPr>
        <w:pStyle w:val="ListParagraph"/>
        <w:ind w:left="1080"/>
      </w:pPr>
    </w:p>
    <w:p w:rsidR="000505CE" w:rsidRDefault="000505CE" w:rsidP="000505CE">
      <w:pPr>
        <w:pStyle w:val="ListParagraph"/>
        <w:ind w:left="1080"/>
        <w:jc w:val="center"/>
        <w:rPr>
          <w:b/>
        </w:rPr>
      </w:pPr>
      <w:r>
        <w:rPr>
          <w:b/>
        </w:rPr>
        <w:t xml:space="preserve">Recording Transactions under the </w:t>
      </w:r>
      <w:r w:rsidRPr="000505CE">
        <w:rPr>
          <w:b/>
        </w:rPr>
        <w:t>Financial Account</w:t>
      </w:r>
    </w:p>
    <w:p w:rsidR="00B64EC2" w:rsidRDefault="00B64EC2" w:rsidP="000505CE">
      <w:pPr>
        <w:pStyle w:val="ListParagraph"/>
        <w:ind w:left="1080"/>
        <w:jc w:val="center"/>
      </w:pPr>
    </w:p>
    <w:p w:rsidR="000505CE" w:rsidRDefault="000505CE" w:rsidP="000505CE">
      <w:pPr>
        <w:pStyle w:val="ListParagraph"/>
        <w:ind w:left="1080"/>
      </w:pPr>
      <w:r w:rsidRPr="000505CE">
        <w:rPr>
          <w:b/>
        </w:rPr>
        <w:t>a credit entry indicates</w:t>
      </w:r>
      <w:r>
        <w:t>; an increase in liabilities or a decrease in assets</w:t>
      </w:r>
    </w:p>
    <w:p w:rsidR="000505CE" w:rsidRDefault="000505CE" w:rsidP="000505CE">
      <w:pPr>
        <w:pStyle w:val="ListParagraph"/>
        <w:ind w:left="1080"/>
      </w:pPr>
      <w:r w:rsidRPr="000505CE">
        <w:rPr>
          <w:b/>
        </w:rPr>
        <w:t>a debit entry indicates;</w:t>
      </w:r>
      <w:r>
        <w:t xml:space="preserve">  a decrease in liabilities or an increase in assets</w:t>
      </w:r>
    </w:p>
    <w:p w:rsidR="000505CE" w:rsidRDefault="000505CE" w:rsidP="000505CE">
      <w:pPr>
        <w:pStyle w:val="ListParagraph"/>
        <w:ind w:left="1080"/>
      </w:pPr>
    </w:p>
    <w:p w:rsidR="000505CE" w:rsidRPr="000505CE" w:rsidRDefault="000505CE" w:rsidP="000505CE">
      <w:pPr>
        <w:pStyle w:val="ListParagraph"/>
        <w:ind w:left="1080"/>
      </w:pPr>
      <w:r>
        <w:t xml:space="preserve">Please look at page 6 of the manuel on </w:t>
      </w:r>
      <w:r w:rsidRPr="003B5600">
        <w:rPr>
          <w:b/>
        </w:rPr>
        <w:t>BP Methodology</w:t>
      </w:r>
      <w:r>
        <w:t xml:space="preserve"> by CB of Turkey. </w:t>
      </w:r>
    </w:p>
    <w:p w:rsidR="000505CE" w:rsidRPr="000505CE" w:rsidRDefault="000505CE" w:rsidP="000505CE">
      <w:pPr>
        <w:pStyle w:val="ListParagraph"/>
        <w:ind w:left="1080"/>
        <w:rPr>
          <w:i/>
        </w:rPr>
      </w:pPr>
      <w:r w:rsidRPr="000505CE">
        <w:rPr>
          <w:i/>
        </w:rPr>
        <w:t xml:space="preserve">A syndicated loan in the amount of 100 units provided by nonresident banks to a resident bank is recorded as </w:t>
      </w:r>
      <w:r w:rsidR="005756C8">
        <w:rPr>
          <w:i/>
        </w:rPr>
        <w:t xml:space="preserve">shown below. </w:t>
      </w:r>
      <w:r w:rsidRPr="000505CE">
        <w:rPr>
          <w:i/>
        </w:rPr>
        <w:t xml:space="preserve"> </w:t>
      </w:r>
    </w:p>
    <w:tbl>
      <w:tblPr>
        <w:tblStyle w:val="TableGrid"/>
        <w:tblW w:w="7251" w:type="dxa"/>
        <w:tblInd w:w="1080" w:type="dxa"/>
        <w:tblLook w:val="04A0" w:firstRow="1" w:lastRow="0" w:firstColumn="1" w:lastColumn="0" w:noHBand="0" w:noVBand="1"/>
      </w:tblPr>
      <w:tblGrid>
        <w:gridCol w:w="4273"/>
        <w:gridCol w:w="1418"/>
        <w:gridCol w:w="1560"/>
      </w:tblGrid>
      <w:tr w:rsidR="000505CE" w:rsidTr="002B5EAA">
        <w:tc>
          <w:tcPr>
            <w:tcW w:w="4273" w:type="dxa"/>
          </w:tcPr>
          <w:p w:rsidR="000505CE" w:rsidRDefault="000505CE" w:rsidP="002B5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0505CE" w:rsidRDefault="000505CE" w:rsidP="002B5EAA">
            <w:pPr>
              <w:pStyle w:val="ListParagraph"/>
              <w:ind w:left="0"/>
              <w:jc w:val="center"/>
              <w:rPr>
                <w:b/>
              </w:rPr>
            </w:pPr>
            <w:r>
              <w:t>Credit</w:t>
            </w:r>
          </w:p>
        </w:tc>
        <w:tc>
          <w:tcPr>
            <w:tcW w:w="1560" w:type="dxa"/>
          </w:tcPr>
          <w:p w:rsidR="000505CE" w:rsidRDefault="000505CE" w:rsidP="002B5EAA">
            <w:pPr>
              <w:pStyle w:val="ListParagraph"/>
              <w:ind w:left="0"/>
              <w:jc w:val="center"/>
              <w:rPr>
                <w:b/>
              </w:rPr>
            </w:pPr>
            <w:r>
              <w:t>Debit</w:t>
            </w:r>
          </w:p>
        </w:tc>
      </w:tr>
      <w:tr w:rsidR="000505CE" w:rsidTr="002B5EAA">
        <w:tc>
          <w:tcPr>
            <w:tcW w:w="4273" w:type="dxa"/>
          </w:tcPr>
          <w:p w:rsidR="000505CE" w:rsidRPr="000505CE" w:rsidRDefault="000505CE" w:rsidP="002B5EAA">
            <w:pPr>
              <w:pStyle w:val="ListParagraph"/>
              <w:ind w:left="0"/>
              <w:rPr>
                <w:b/>
                <w:i/>
              </w:rPr>
            </w:pPr>
            <w:r w:rsidRPr="000505CE">
              <w:rPr>
                <w:b/>
                <w:i/>
              </w:rPr>
              <w:t>Financial Account</w:t>
            </w:r>
          </w:p>
        </w:tc>
        <w:tc>
          <w:tcPr>
            <w:tcW w:w="1418" w:type="dxa"/>
          </w:tcPr>
          <w:p w:rsidR="000505CE" w:rsidRDefault="000505CE" w:rsidP="002B5EA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505CE" w:rsidRDefault="000505CE" w:rsidP="002B5EAA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0505CE" w:rsidTr="002B5EAA">
        <w:tc>
          <w:tcPr>
            <w:tcW w:w="4273" w:type="dxa"/>
          </w:tcPr>
          <w:p w:rsidR="000505CE" w:rsidRDefault="000505CE" w:rsidP="002B5EAA">
            <w:pPr>
              <w:pStyle w:val="ListParagraph"/>
              <w:ind w:left="0"/>
              <w:rPr>
                <w:b/>
              </w:rPr>
            </w:pPr>
            <w:r>
              <w:t xml:space="preserve">Other Investment/Currency and Deposits/ </w:t>
            </w:r>
            <w:r w:rsidRPr="000505CE">
              <w:rPr>
                <w:b/>
              </w:rPr>
              <w:t>Net Acquisition of Financial Assets</w:t>
            </w:r>
            <w:r>
              <w:t>/Banks</w:t>
            </w:r>
          </w:p>
        </w:tc>
        <w:tc>
          <w:tcPr>
            <w:tcW w:w="1418" w:type="dxa"/>
          </w:tcPr>
          <w:p w:rsidR="000505CE" w:rsidRDefault="000505CE" w:rsidP="002B5EA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505CE" w:rsidRDefault="000505CE" w:rsidP="002B5EA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505CE" w:rsidTr="002B5EAA">
        <w:tc>
          <w:tcPr>
            <w:tcW w:w="4273" w:type="dxa"/>
          </w:tcPr>
          <w:p w:rsidR="000505CE" w:rsidRDefault="000505CE" w:rsidP="002B5EAA">
            <w:pPr>
              <w:pStyle w:val="ListParagraph"/>
              <w:ind w:left="0"/>
              <w:rPr>
                <w:b/>
              </w:rPr>
            </w:pPr>
            <w:r>
              <w:t xml:space="preserve">Other Investment/Loans/ </w:t>
            </w:r>
            <w:r w:rsidRPr="000505CE">
              <w:rPr>
                <w:b/>
              </w:rPr>
              <w:t>Net Incurrence of Liabilities</w:t>
            </w:r>
            <w:r>
              <w:t>/Banks</w:t>
            </w:r>
          </w:p>
        </w:tc>
        <w:tc>
          <w:tcPr>
            <w:tcW w:w="1418" w:type="dxa"/>
          </w:tcPr>
          <w:p w:rsidR="000505CE" w:rsidRDefault="000505CE" w:rsidP="002B5EA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60" w:type="dxa"/>
          </w:tcPr>
          <w:p w:rsidR="000505CE" w:rsidRDefault="000505CE" w:rsidP="002B5EAA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8D0B3F" w:rsidRPr="00C37445" w:rsidRDefault="00C37445" w:rsidP="00544FD9">
      <w:pPr>
        <w:pStyle w:val="ListParagraph"/>
        <w:ind w:left="1080"/>
        <w:rPr>
          <w:i/>
        </w:rPr>
      </w:pPr>
      <w:r w:rsidRPr="00C37445">
        <w:rPr>
          <w:i/>
        </w:rPr>
        <w:t xml:space="preserve">Repayment of a loan </w:t>
      </w:r>
      <w:r>
        <w:rPr>
          <w:i/>
        </w:rPr>
        <w:t xml:space="preserve">in the amount of 100 units </w:t>
      </w:r>
      <w:r w:rsidRPr="00C37445">
        <w:rPr>
          <w:i/>
        </w:rPr>
        <w:t>by a resident  export company to</w:t>
      </w:r>
      <w:r>
        <w:rPr>
          <w:i/>
        </w:rPr>
        <w:t xml:space="preserve"> a  non</w:t>
      </w:r>
      <w:r w:rsidRPr="00C37445">
        <w:rPr>
          <w:i/>
        </w:rPr>
        <w:t xml:space="preserve"> resident creditor is recorded as shown below. </w:t>
      </w:r>
    </w:p>
    <w:tbl>
      <w:tblPr>
        <w:tblStyle w:val="TableGrid"/>
        <w:tblW w:w="7251" w:type="dxa"/>
        <w:tblInd w:w="1080" w:type="dxa"/>
        <w:tblLook w:val="04A0" w:firstRow="1" w:lastRow="0" w:firstColumn="1" w:lastColumn="0" w:noHBand="0" w:noVBand="1"/>
      </w:tblPr>
      <w:tblGrid>
        <w:gridCol w:w="4273"/>
        <w:gridCol w:w="1418"/>
        <w:gridCol w:w="1560"/>
      </w:tblGrid>
      <w:tr w:rsidR="008D0B3F" w:rsidTr="002B5EAA">
        <w:tc>
          <w:tcPr>
            <w:tcW w:w="4273" w:type="dxa"/>
          </w:tcPr>
          <w:p w:rsidR="008D0B3F" w:rsidRDefault="008D0B3F" w:rsidP="002B5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8D0B3F" w:rsidRDefault="008D0B3F" w:rsidP="002B5EAA">
            <w:pPr>
              <w:pStyle w:val="ListParagraph"/>
              <w:ind w:left="0"/>
              <w:jc w:val="center"/>
              <w:rPr>
                <w:b/>
              </w:rPr>
            </w:pPr>
            <w:r>
              <w:t>Credit</w:t>
            </w:r>
          </w:p>
        </w:tc>
        <w:tc>
          <w:tcPr>
            <w:tcW w:w="1560" w:type="dxa"/>
          </w:tcPr>
          <w:p w:rsidR="008D0B3F" w:rsidRDefault="008D0B3F" w:rsidP="002B5EAA">
            <w:pPr>
              <w:pStyle w:val="ListParagraph"/>
              <w:ind w:left="0"/>
              <w:jc w:val="center"/>
              <w:rPr>
                <w:b/>
              </w:rPr>
            </w:pPr>
            <w:r>
              <w:t>Debit</w:t>
            </w:r>
          </w:p>
        </w:tc>
      </w:tr>
      <w:tr w:rsidR="008D0B3F" w:rsidTr="002B5EAA">
        <w:tc>
          <w:tcPr>
            <w:tcW w:w="4273" w:type="dxa"/>
          </w:tcPr>
          <w:p w:rsidR="008D0B3F" w:rsidRPr="000505CE" w:rsidRDefault="008D0B3F" w:rsidP="002B5EAA">
            <w:pPr>
              <w:pStyle w:val="ListParagraph"/>
              <w:ind w:left="0"/>
              <w:rPr>
                <w:b/>
                <w:i/>
              </w:rPr>
            </w:pPr>
            <w:r w:rsidRPr="000505CE">
              <w:rPr>
                <w:b/>
                <w:i/>
              </w:rPr>
              <w:t>Financial Account</w:t>
            </w:r>
          </w:p>
        </w:tc>
        <w:tc>
          <w:tcPr>
            <w:tcW w:w="1418" w:type="dxa"/>
          </w:tcPr>
          <w:p w:rsidR="008D0B3F" w:rsidRDefault="008D0B3F" w:rsidP="002B5EA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0B3F" w:rsidRDefault="008D0B3F" w:rsidP="002B5EAA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37445" w:rsidTr="002B5EAA">
        <w:tc>
          <w:tcPr>
            <w:tcW w:w="4273" w:type="dxa"/>
          </w:tcPr>
          <w:p w:rsidR="00C37445" w:rsidRDefault="00C37445" w:rsidP="002B5EAA">
            <w:pPr>
              <w:pStyle w:val="ListParagraph"/>
              <w:ind w:left="0"/>
              <w:rPr>
                <w:b/>
              </w:rPr>
            </w:pPr>
            <w:r>
              <w:t xml:space="preserve">Other Investment/Currency and Deposits/ </w:t>
            </w:r>
            <w:r w:rsidRPr="000505CE">
              <w:rPr>
                <w:b/>
              </w:rPr>
              <w:t>Net Acquisition of Financial Assets</w:t>
            </w:r>
            <w:r>
              <w:t>/Banks</w:t>
            </w:r>
          </w:p>
        </w:tc>
        <w:tc>
          <w:tcPr>
            <w:tcW w:w="1418" w:type="dxa"/>
          </w:tcPr>
          <w:p w:rsidR="00C37445" w:rsidRDefault="00C37445" w:rsidP="002B5EA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60" w:type="dxa"/>
          </w:tcPr>
          <w:p w:rsidR="00C37445" w:rsidRDefault="00C37445" w:rsidP="002B5EAA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37445" w:rsidTr="002B5EAA">
        <w:tc>
          <w:tcPr>
            <w:tcW w:w="4273" w:type="dxa"/>
          </w:tcPr>
          <w:p w:rsidR="00C37445" w:rsidRDefault="00C37445" w:rsidP="002B5EAA">
            <w:pPr>
              <w:pStyle w:val="ListParagraph"/>
              <w:ind w:left="0"/>
              <w:rPr>
                <w:b/>
              </w:rPr>
            </w:pPr>
            <w:r>
              <w:t xml:space="preserve">Other Investment/Trade Credit and Advances/ </w:t>
            </w:r>
            <w:r w:rsidRPr="000505CE">
              <w:rPr>
                <w:b/>
              </w:rPr>
              <w:t>Net Incurrence of Liabilities</w:t>
            </w:r>
          </w:p>
        </w:tc>
        <w:tc>
          <w:tcPr>
            <w:tcW w:w="1418" w:type="dxa"/>
          </w:tcPr>
          <w:p w:rsidR="00C37445" w:rsidRDefault="00C37445" w:rsidP="002B5EA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37445" w:rsidRDefault="00C37445" w:rsidP="002B5EA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8D0B3F" w:rsidRDefault="008D0B3F" w:rsidP="00544FD9">
      <w:pPr>
        <w:pStyle w:val="ListParagraph"/>
        <w:ind w:left="1080"/>
      </w:pPr>
    </w:p>
    <w:p w:rsidR="008D2272" w:rsidRDefault="00544FD9" w:rsidP="00544FD9">
      <w:pPr>
        <w:pStyle w:val="ListParagraph"/>
        <w:ind w:left="1080"/>
      </w:pPr>
      <w:r>
        <w:t>Also, on pg 5 of the same document, t</w:t>
      </w:r>
      <w:r w:rsidR="00165CD5">
        <w:t xml:space="preserve">he sign convention of Balance of Payments Financial Account </w:t>
      </w:r>
      <w:r>
        <w:t xml:space="preserve"> </w:t>
      </w:r>
      <w:r w:rsidR="003B5600">
        <w:t>to</w:t>
      </w:r>
      <w:r>
        <w:t xml:space="preserve"> be used as the guideline in interpreting a balace of payments table</w:t>
      </w:r>
      <w:r w:rsidR="00293F23">
        <w:t xml:space="preserve"> is explained as follows.</w:t>
      </w:r>
    </w:p>
    <w:p w:rsidR="008D2272" w:rsidRDefault="00165CD5" w:rsidP="008D2272">
      <w:pPr>
        <w:pStyle w:val="ListParagraph"/>
        <w:numPr>
          <w:ilvl w:val="0"/>
          <w:numId w:val="4"/>
        </w:numPr>
      </w:pPr>
      <w:r>
        <w:lastRenderedPageBreak/>
        <w:t xml:space="preserve">a </w:t>
      </w:r>
      <w:r w:rsidRPr="008D2272">
        <w:rPr>
          <w:b/>
          <w:i/>
        </w:rPr>
        <w:t>positive sign</w:t>
      </w:r>
      <w:r>
        <w:t xml:space="preserve"> showing </w:t>
      </w:r>
      <w:r w:rsidRPr="008D2272">
        <w:rPr>
          <w:i/>
        </w:rPr>
        <w:t xml:space="preserve">an </w:t>
      </w:r>
      <w:r w:rsidRPr="008D2272">
        <w:rPr>
          <w:b/>
          <w:i/>
        </w:rPr>
        <w:t>increase</w:t>
      </w:r>
      <w:r>
        <w:t xml:space="preserve"> in assets or liabilities and </w:t>
      </w:r>
    </w:p>
    <w:p w:rsidR="004A5DAE" w:rsidRDefault="00165CD5" w:rsidP="004A5DAE">
      <w:pPr>
        <w:pStyle w:val="ListParagraph"/>
        <w:numPr>
          <w:ilvl w:val="0"/>
          <w:numId w:val="4"/>
        </w:numPr>
      </w:pPr>
      <w:r>
        <w:t xml:space="preserve">a </w:t>
      </w:r>
      <w:r w:rsidRPr="008D2272">
        <w:rPr>
          <w:b/>
          <w:i/>
        </w:rPr>
        <w:t>negative sign</w:t>
      </w:r>
      <w:r>
        <w:t xml:space="preserve"> showing a </w:t>
      </w:r>
      <w:r w:rsidRPr="008D2272">
        <w:rPr>
          <w:b/>
          <w:i/>
        </w:rPr>
        <w:t>decrease</w:t>
      </w:r>
      <w:r>
        <w:t xml:space="preserve"> in assets or liabilities.  </w:t>
      </w:r>
    </w:p>
    <w:p w:rsidR="004A5DAE" w:rsidRDefault="004A5DAE" w:rsidP="004A5DA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The account balances </w:t>
      </w:r>
      <w:r w:rsidRPr="004A5DAE">
        <w:rPr>
          <w:b/>
        </w:rPr>
        <w:t xml:space="preserve"> under which asset and liability transactions are netted out, can be positive or negative. </w:t>
      </w:r>
    </w:p>
    <w:p w:rsidR="004A5DAE" w:rsidRPr="004A5DAE" w:rsidRDefault="004A5DAE" w:rsidP="004A5DAE">
      <w:pPr>
        <w:pStyle w:val="ListParagraph"/>
        <w:ind w:left="1080"/>
        <w:rPr>
          <w:b/>
        </w:rPr>
      </w:pPr>
    </w:p>
    <w:p w:rsidR="00283378" w:rsidRPr="003B5600" w:rsidRDefault="00B31F83" w:rsidP="003B5600">
      <w:pPr>
        <w:pStyle w:val="ListParagraph"/>
        <w:ind w:left="1080"/>
      </w:pPr>
      <w:r>
        <w:t>Look at the same excel worksheet and calculate the following for January 2016 and January 2017</w:t>
      </w:r>
    </w:p>
    <w:p w:rsidR="00B31F83" w:rsidRPr="00B31F83" w:rsidRDefault="00283378" w:rsidP="004A5DAE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B31F83">
        <w:rPr>
          <w:rFonts w:ascii="Tahoma" w:eastAsia="Times New Roman" w:hAnsi="Tahoma" w:cs="Tahoma"/>
          <w:b/>
          <w:bCs/>
          <w:sz w:val="20"/>
          <w:szCs w:val="20"/>
          <w:lang w:eastAsia="tr-TR"/>
        </w:rPr>
        <w:t>Direct Investment: Net acquisition of financial assets</w:t>
      </w:r>
      <w:r w:rsidR="00B31F83">
        <w:rPr>
          <w:rFonts w:ascii="Tahoma" w:eastAsia="Times New Roman" w:hAnsi="Tahoma" w:cs="Tahoma"/>
          <w:b/>
          <w:bCs/>
          <w:sz w:val="20"/>
          <w:szCs w:val="20"/>
          <w:lang w:eastAsia="tr-TR"/>
        </w:rPr>
        <w:t>:</w:t>
      </w:r>
      <w:r w:rsidRPr="00B31F83">
        <w:rPr>
          <w:rFonts w:ascii="Tahoma" w:eastAsia="Times New Roman" w:hAnsi="Tahoma" w:cs="Tahoma"/>
          <w:b/>
          <w:bCs/>
          <w:sz w:val="20"/>
          <w:szCs w:val="20"/>
          <w:lang w:eastAsia="tr-TR"/>
        </w:rPr>
        <w:t xml:space="preserve">     </w:t>
      </w:r>
    </w:p>
    <w:p w:rsidR="00283378" w:rsidRPr="00B31F83" w:rsidRDefault="00283378" w:rsidP="004A5DAE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B31F83">
        <w:rPr>
          <w:rFonts w:ascii="Tahoma" w:eastAsia="Times New Roman" w:hAnsi="Tahoma" w:cs="Tahoma"/>
          <w:b/>
          <w:bCs/>
          <w:sz w:val="20"/>
          <w:szCs w:val="20"/>
          <w:lang w:eastAsia="tr-TR"/>
        </w:rPr>
        <w:t>Direct Investment: Net incurrence of liabilities</w:t>
      </w:r>
      <w:r w:rsidR="00B31F83">
        <w:rPr>
          <w:rFonts w:ascii="Tahoma" w:eastAsia="Times New Roman" w:hAnsi="Tahoma" w:cs="Tahoma"/>
          <w:b/>
          <w:bCs/>
          <w:sz w:val="20"/>
          <w:szCs w:val="20"/>
          <w:lang w:eastAsia="tr-TR"/>
        </w:rPr>
        <w:t>:</w:t>
      </w:r>
      <w:r w:rsidRPr="00B31F83">
        <w:rPr>
          <w:rFonts w:ascii="Tahoma" w:eastAsia="Times New Roman" w:hAnsi="Tahoma" w:cs="Tahoma"/>
          <w:b/>
          <w:bCs/>
          <w:sz w:val="20"/>
          <w:szCs w:val="20"/>
          <w:lang w:eastAsia="tr-TR"/>
        </w:rPr>
        <w:t xml:space="preserve">                </w:t>
      </w:r>
    </w:p>
    <w:p w:rsidR="00B31F83" w:rsidRPr="00B31F83" w:rsidRDefault="004A5DAE" w:rsidP="004A5DAE">
      <w:pPr>
        <w:pStyle w:val="ListParagraph"/>
        <w:numPr>
          <w:ilvl w:val="0"/>
          <w:numId w:val="9"/>
        </w:numPr>
        <w:rPr>
          <w:b/>
        </w:rPr>
      </w:pPr>
      <w:r>
        <w:t xml:space="preserve">The balance on  </w:t>
      </w:r>
      <w:r>
        <w:rPr>
          <w:b/>
        </w:rPr>
        <w:t>direct investment</w:t>
      </w:r>
      <w:r>
        <w:t xml:space="preserve"> = [</w:t>
      </w:r>
      <w:r w:rsidRPr="0008281F">
        <w:rPr>
          <w:i/>
        </w:rPr>
        <w:t>net acquisitions of  financial assets ]-[net incurrence of liabilities</w:t>
      </w:r>
      <w:r>
        <w:t xml:space="preserve">] </w:t>
      </w:r>
      <w:r w:rsidR="00B31F83">
        <w:t>:</w:t>
      </w:r>
    </w:p>
    <w:p w:rsidR="004A5DAE" w:rsidRPr="008E02EF" w:rsidRDefault="00B31F83" w:rsidP="00B31F83">
      <w:pPr>
        <w:pStyle w:val="ListParagraph"/>
        <w:numPr>
          <w:ilvl w:val="0"/>
          <w:numId w:val="9"/>
        </w:numPr>
        <w:rPr>
          <w:b/>
        </w:rPr>
      </w:pPr>
      <w:r>
        <w:t xml:space="preserve">Is this </w:t>
      </w:r>
      <w:r w:rsidR="004A5DAE">
        <w:t xml:space="preserve">a net inflow </w:t>
      </w:r>
      <w:r>
        <w:t xml:space="preserve">or outflow of </w:t>
      </w:r>
      <w:r w:rsidR="004A5DAE">
        <w:t>of FDI</w:t>
      </w:r>
      <w:r w:rsidR="003B5600">
        <w:t xml:space="preserve"> </w:t>
      </w:r>
      <w:r>
        <w:t>?</w:t>
      </w:r>
    </w:p>
    <w:p w:rsidR="008E02EF" w:rsidRPr="00B31F83" w:rsidRDefault="008E02EF" w:rsidP="008E02EF">
      <w:pPr>
        <w:pStyle w:val="ListParagraph"/>
        <w:ind w:left="1800"/>
        <w:rPr>
          <w:b/>
        </w:rPr>
      </w:pPr>
    </w:p>
    <w:p w:rsidR="00B64EC2" w:rsidRPr="00B64EC2" w:rsidRDefault="008E02EF" w:rsidP="008E02EF">
      <w:pPr>
        <w:pStyle w:val="ListParagraph"/>
        <w:numPr>
          <w:ilvl w:val="0"/>
          <w:numId w:val="9"/>
        </w:numPr>
      </w:pPr>
      <w:r>
        <w:t>Fill in the relevant figures in the table below. Is the government debt increasing or decreasing ?</w:t>
      </w:r>
    </w:p>
    <w:tbl>
      <w:tblPr>
        <w:tblStyle w:val="TableGrid"/>
        <w:tblW w:w="7352" w:type="dxa"/>
        <w:tblInd w:w="1085" w:type="dxa"/>
        <w:tblLook w:val="04A0" w:firstRow="1" w:lastRow="0" w:firstColumn="1" w:lastColumn="0" w:noHBand="0" w:noVBand="1"/>
      </w:tblPr>
      <w:tblGrid>
        <w:gridCol w:w="572"/>
        <w:gridCol w:w="4660"/>
        <w:gridCol w:w="1060"/>
        <w:gridCol w:w="1060"/>
      </w:tblGrid>
      <w:tr w:rsidR="00554239" w:rsidRPr="004A5DAE" w:rsidTr="00554239">
        <w:trPr>
          <w:trHeight w:val="278"/>
        </w:trPr>
        <w:tc>
          <w:tcPr>
            <w:tcW w:w="572" w:type="dxa"/>
            <w:noWrap/>
          </w:tcPr>
          <w:p w:rsidR="00554239" w:rsidRPr="004A5DAE" w:rsidRDefault="00554239" w:rsidP="004A5DA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60" w:type="dxa"/>
            <w:noWrap/>
          </w:tcPr>
          <w:p w:rsidR="00554239" w:rsidRPr="004A5DAE" w:rsidRDefault="00554239" w:rsidP="004A5DA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noWrap/>
          </w:tcPr>
          <w:p w:rsidR="00554239" w:rsidRPr="004A5DAE" w:rsidRDefault="008E02EF" w:rsidP="004A5DA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Jan 2016</w:t>
            </w:r>
          </w:p>
        </w:tc>
        <w:tc>
          <w:tcPr>
            <w:tcW w:w="1060" w:type="dxa"/>
          </w:tcPr>
          <w:p w:rsidR="00554239" w:rsidRPr="004A5DAE" w:rsidRDefault="008E02EF" w:rsidP="004A5DA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Jan 2017</w:t>
            </w:r>
          </w:p>
        </w:tc>
      </w:tr>
      <w:tr w:rsidR="00554239" w:rsidRPr="004A5DAE" w:rsidTr="00554239">
        <w:trPr>
          <w:trHeight w:val="278"/>
        </w:trPr>
        <w:tc>
          <w:tcPr>
            <w:tcW w:w="572" w:type="dxa"/>
            <w:noWrap/>
            <w:hideMark/>
          </w:tcPr>
          <w:p w:rsidR="00554239" w:rsidRPr="004A5DAE" w:rsidRDefault="00554239" w:rsidP="004A5DA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A5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13.</w:t>
            </w:r>
          </w:p>
        </w:tc>
        <w:tc>
          <w:tcPr>
            <w:tcW w:w="4660" w:type="dxa"/>
            <w:noWrap/>
            <w:hideMark/>
          </w:tcPr>
          <w:p w:rsidR="00554239" w:rsidRPr="004A5DAE" w:rsidRDefault="00554239" w:rsidP="004A5DA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A5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     Other Investment: Net incurrence of liabilities</w:t>
            </w:r>
          </w:p>
        </w:tc>
        <w:tc>
          <w:tcPr>
            <w:tcW w:w="1060" w:type="dxa"/>
            <w:noWrap/>
            <w:hideMark/>
          </w:tcPr>
          <w:p w:rsidR="00554239" w:rsidRPr="004A5DAE" w:rsidRDefault="00554239" w:rsidP="004A5DA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</w:tcPr>
          <w:p w:rsidR="00554239" w:rsidRPr="004A5DAE" w:rsidRDefault="00554239" w:rsidP="004A5DA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554239" w:rsidRPr="004A5DAE" w:rsidTr="00554239">
        <w:trPr>
          <w:trHeight w:val="278"/>
        </w:trPr>
        <w:tc>
          <w:tcPr>
            <w:tcW w:w="572" w:type="dxa"/>
            <w:noWrap/>
            <w:hideMark/>
          </w:tcPr>
          <w:p w:rsidR="00554239" w:rsidRPr="004A5DAE" w:rsidRDefault="00554239" w:rsidP="004A5DA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A5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13.1.</w:t>
            </w:r>
          </w:p>
        </w:tc>
        <w:tc>
          <w:tcPr>
            <w:tcW w:w="4660" w:type="dxa"/>
            <w:noWrap/>
            <w:hideMark/>
          </w:tcPr>
          <w:p w:rsidR="00554239" w:rsidRPr="004A5DAE" w:rsidRDefault="00554239" w:rsidP="004A5DA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A5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        Central Bank</w:t>
            </w:r>
          </w:p>
        </w:tc>
        <w:tc>
          <w:tcPr>
            <w:tcW w:w="1060" w:type="dxa"/>
            <w:noWrap/>
            <w:hideMark/>
          </w:tcPr>
          <w:p w:rsidR="00554239" w:rsidRPr="004A5DAE" w:rsidRDefault="00554239" w:rsidP="00B64E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</w:tcPr>
          <w:p w:rsidR="00554239" w:rsidRPr="004A5DAE" w:rsidRDefault="00554239" w:rsidP="00B64E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554239" w:rsidRPr="004A5DAE" w:rsidTr="00554239">
        <w:trPr>
          <w:trHeight w:val="278"/>
        </w:trPr>
        <w:tc>
          <w:tcPr>
            <w:tcW w:w="572" w:type="dxa"/>
            <w:noWrap/>
            <w:hideMark/>
          </w:tcPr>
          <w:p w:rsidR="00554239" w:rsidRPr="004A5DAE" w:rsidRDefault="00554239" w:rsidP="004A5DA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A5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13.2.</w:t>
            </w:r>
          </w:p>
        </w:tc>
        <w:tc>
          <w:tcPr>
            <w:tcW w:w="4660" w:type="dxa"/>
            <w:noWrap/>
            <w:hideMark/>
          </w:tcPr>
          <w:p w:rsidR="00554239" w:rsidRPr="004A5DAE" w:rsidRDefault="00554239" w:rsidP="004A5DA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A5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        General Government</w:t>
            </w:r>
          </w:p>
        </w:tc>
        <w:tc>
          <w:tcPr>
            <w:tcW w:w="1060" w:type="dxa"/>
            <w:noWrap/>
            <w:hideMark/>
          </w:tcPr>
          <w:p w:rsidR="00554239" w:rsidRPr="004A5DAE" w:rsidRDefault="00554239" w:rsidP="00B64E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</w:tcPr>
          <w:p w:rsidR="00554239" w:rsidRPr="004A5DAE" w:rsidRDefault="00554239" w:rsidP="00B64E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B64EC2" w:rsidRPr="004902FB" w:rsidRDefault="00B64EC2" w:rsidP="00B64EC2">
      <w:pPr>
        <w:pStyle w:val="ListParagraph"/>
        <w:ind w:left="1080"/>
      </w:pPr>
    </w:p>
    <w:p w:rsidR="0008281F" w:rsidRPr="008E02EF" w:rsidRDefault="008E02EF" w:rsidP="008E02EF">
      <w:pPr>
        <w:pStyle w:val="ListParagraph"/>
        <w:numPr>
          <w:ilvl w:val="0"/>
          <w:numId w:val="5"/>
        </w:numPr>
        <w:rPr>
          <w:b/>
        </w:rPr>
      </w:pPr>
      <w:r>
        <w:t>Calculate the</w:t>
      </w:r>
      <w:r w:rsidR="00165CD5">
        <w:t xml:space="preserve"> </w:t>
      </w:r>
      <w:r w:rsidRPr="008D2272">
        <w:rPr>
          <w:b/>
        </w:rPr>
        <w:t>balance on financial account</w:t>
      </w:r>
      <w:r>
        <w:rPr>
          <w:b/>
        </w:rPr>
        <w:t>. (</w:t>
      </w:r>
      <w:r w:rsidRPr="008E02EF">
        <w:t>Remember that the</w:t>
      </w:r>
      <w:r>
        <w:rPr>
          <w:b/>
        </w:rPr>
        <w:t xml:space="preserve"> </w:t>
      </w:r>
      <w:r w:rsidR="00165CD5" w:rsidRPr="008E02EF">
        <w:rPr>
          <w:b/>
        </w:rPr>
        <w:t>balance on financial account</w:t>
      </w:r>
      <w:r w:rsidR="00165CD5">
        <w:t xml:space="preserve"> </w:t>
      </w:r>
      <w:r w:rsidR="0008281F">
        <w:t>=</w:t>
      </w:r>
      <w:r w:rsidR="00165CD5">
        <w:t xml:space="preserve"> </w:t>
      </w:r>
      <w:r w:rsidR="0008281F">
        <w:t>[</w:t>
      </w:r>
      <w:r w:rsidR="00165CD5" w:rsidRPr="008E02EF">
        <w:rPr>
          <w:i/>
        </w:rPr>
        <w:t>net acquisitions of</w:t>
      </w:r>
      <w:r w:rsidR="008D2272" w:rsidRPr="008E02EF">
        <w:rPr>
          <w:i/>
        </w:rPr>
        <w:t xml:space="preserve"> </w:t>
      </w:r>
      <w:r w:rsidR="00165CD5" w:rsidRPr="008E02EF">
        <w:rPr>
          <w:i/>
        </w:rPr>
        <w:t xml:space="preserve"> financial assets </w:t>
      </w:r>
      <w:r w:rsidR="0008281F" w:rsidRPr="008E02EF">
        <w:rPr>
          <w:i/>
        </w:rPr>
        <w:t>]-[</w:t>
      </w:r>
      <w:r w:rsidR="00165CD5" w:rsidRPr="008E02EF">
        <w:rPr>
          <w:i/>
        </w:rPr>
        <w:t>net incurrence of liabilities</w:t>
      </w:r>
      <w:r w:rsidR="0008281F">
        <w:t>]</w:t>
      </w:r>
      <w:r>
        <w:t>)</w:t>
      </w:r>
    </w:p>
    <w:p w:rsidR="0008281F" w:rsidRPr="008E02EF" w:rsidRDefault="008E02EF" w:rsidP="008E02EF">
      <w:pPr>
        <w:pStyle w:val="ListParagraph"/>
        <w:numPr>
          <w:ilvl w:val="0"/>
          <w:numId w:val="5"/>
        </w:numPr>
      </w:pPr>
      <w:r w:rsidRPr="008E02EF">
        <w:t xml:space="preserve">Is there </w:t>
      </w:r>
      <w:r w:rsidR="00165CD5" w:rsidRPr="008E02EF">
        <w:t>a net inflow</w:t>
      </w:r>
      <w:r w:rsidR="00165CD5">
        <w:t xml:space="preserve"> </w:t>
      </w:r>
      <w:r>
        <w:t xml:space="preserve"> or a net outflow in January 2016? January 2017? </w:t>
      </w:r>
    </w:p>
    <w:p w:rsidR="00544FD9" w:rsidRDefault="008E02EF" w:rsidP="00E73B33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Calculate the following:</w:t>
      </w:r>
    </w:p>
    <w:p w:rsidR="00B64EC2" w:rsidRDefault="00B64EC2" w:rsidP="00B64EC2">
      <w:pPr>
        <w:pStyle w:val="ListParagraph"/>
      </w:pPr>
      <w:r>
        <w:t>a)the balance on direct investment</w:t>
      </w:r>
    </w:p>
    <w:p w:rsidR="00B64EC2" w:rsidRDefault="00B64EC2" w:rsidP="00B64EC2">
      <w:pPr>
        <w:pStyle w:val="ListParagraph"/>
      </w:pPr>
      <w:r>
        <w:t xml:space="preserve">b) the balance on </w:t>
      </w:r>
      <w:r w:rsidR="004902FB">
        <w:t>portfolio</w:t>
      </w:r>
      <w:r>
        <w:t xml:space="preserve"> investment</w:t>
      </w:r>
    </w:p>
    <w:p w:rsidR="004902FB" w:rsidRDefault="004902FB" w:rsidP="00B64EC2">
      <w:pPr>
        <w:pStyle w:val="ListParagraph"/>
      </w:pPr>
      <w:r>
        <w:t>c) the balance on other  investment</w:t>
      </w:r>
    </w:p>
    <w:p w:rsidR="00B64EC2" w:rsidRPr="004902FB" w:rsidRDefault="004902FB" w:rsidP="004902FB">
      <w:pPr>
        <w:pStyle w:val="ListParagraph"/>
      </w:pPr>
      <w:r>
        <w:t>d) the balance on financial account</w:t>
      </w:r>
    </w:p>
    <w:p w:rsidR="004902FB" w:rsidRDefault="008E02EF" w:rsidP="00E73B33">
      <w:pPr>
        <w:pStyle w:val="ListParagraph"/>
        <w:numPr>
          <w:ilvl w:val="0"/>
          <w:numId w:val="1"/>
        </w:numPr>
        <w:spacing w:before="360" w:after="0"/>
        <w:contextualSpacing w:val="0"/>
      </w:pPr>
      <w:r>
        <w:t>What is</w:t>
      </w:r>
      <w:r w:rsidR="004902FB">
        <w:t xml:space="preserve"> net incurrence of liabilities u</w:t>
      </w:r>
      <w:r>
        <w:t xml:space="preserve">nder portfolio investments  in january 2016 and january 2017? </w:t>
      </w:r>
      <w:r w:rsidR="004902FB">
        <w:t xml:space="preserve"> </w:t>
      </w:r>
      <w:r>
        <w:t>Does this balance</w:t>
      </w:r>
      <w:r w:rsidR="004902FB">
        <w:t xml:space="preserve"> imply an increase or decrease in liabilities? Does this figure imply an inflow or outflow of capital? </w:t>
      </w:r>
      <w:r w:rsidR="00E81A3C">
        <w:t>What is the breakdown of this capital flow into bonds and securities? What is the likely impact of these movements on the BIST index and bond rates?</w:t>
      </w:r>
    </w:p>
    <w:p w:rsidR="004902FB" w:rsidRPr="004902FB" w:rsidRDefault="00415C13" w:rsidP="00E73B33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For the two months under review, c</w:t>
      </w:r>
      <w:r w:rsidR="00E81A3C">
        <w:t xml:space="preserve">ompare the deficit of the current account and the balance on financial </w:t>
      </w:r>
      <w:r>
        <w:t xml:space="preserve">account (excluding reserves) </w:t>
      </w:r>
      <w:r w:rsidR="00E81A3C">
        <w:t xml:space="preserve">and capital accounts. What is the net balance of these three items? Does this imply a net receipt </w:t>
      </w:r>
      <w:r w:rsidR="005D70BC">
        <w:t>over payments by residents , or the opposite?</w:t>
      </w:r>
    </w:p>
    <w:p w:rsidR="008D2272" w:rsidRDefault="00415C13" w:rsidP="00E73B33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I</w:t>
      </w:r>
      <w:r w:rsidR="005B7EB9">
        <w:t>s the change in reserves an increase or a decrease?</w:t>
      </w:r>
    </w:p>
    <w:p w:rsidR="00C9532C" w:rsidRDefault="0018377A" w:rsidP="00E73B33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 xml:space="preserve">Look at the PDF document entitled bop. </w:t>
      </w:r>
      <w:r w:rsidR="00E90EAD">
        <w:t xml:space="preserve">Please consider </w:t>
      </w:r>
      <w:r>
        <w:t xml:space="preserve"> </w:t>
      </w:r>
      <w:r w:rsidR="00E90EAD">
        <w:t>T</w:t>
      </w:r>
      <w:r w:rsidR="009364D5">
        <w:t xml:space="preserve">able 4, </w:t>
      </w:r>
      <w:r w:rsidR="00366480">
        <w:t xml:space="preserve">Balance of Payments </w:t>
      </w:r>
      <w:r w:rsidR="009364D5" w:rsidRPr="009364D5">
        <w:t xml:space="preserve"> – Yearly Analytic Presentat</w:t>
      </w:r>
      <w:r>
        <w:t>ion (1996</w:t>
      </w:r>
      <w:r w:rsidR="009364D5" w:rsidRPr="009364D5">
        <w:t>- 201</w:t>
      </w:r>
      <w:r>
        <w:t>7</w:t>
      </w:r>
      <w:r w:rsidR="009364D5" w:rsidRPr="009364D5">
        <w:t>)</w:t>
      </w:r>
      <w:r w:rsidR="009364D5">
        <w:t xml:space="preserve">: Notice the rise in CA deficits during the 2000’s. Can you identify any relation between strong economic performance and </w:t>
      </w:r>
      <w:r w:rsidR="00E90EAD">
        <w:t xml:space="preserve">large deficits (or vice versa)? </w:t>
      </w:r>
      <w:r>
        <w:t xml:space="preserve">There is only one year when the CA balance is positive. Which one? </w:t>
      </w:r>
      <w:r w:rsidR="00410CC1">
        <w:t>Also, c</w:t>
      </w:r>
      <w:r>
        <w:t xml:space="preserve">ompare 2009 with 2013 and 2017. </w:t>
      </w:r>
    </w:p>
    <w:p w:rsidR="009364D5" w:rsidRDefault="00410CC1" w:rsidP="00E73B33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lastRenderedPageBreak/>
        <w:t xml:space="preserve">Another comparison to be made is between Financial Account balance and the Current Account  balance. </w:t>
      </w:r>
      <w:r w:rsidR="00C9532C">
        <w:t xml:space="preserve">Look at Chart 21 below. (NEO stands for net errors and omissoins.) </w:t>
      </w:r>
      <w:r>
        <w:t xml:space="preserve">Can you verify that the availibility of foreign savings is a determinant of the current account </w:t>
      </w:r>
      <w:r w:rsidR="00C9532C">
        <w:t xml:space="preserve">deficit </w:t>
      </w:r>
      <w:r>
        <w:t xml:space="preserve">by looking at </w:t>
      </w:r>
      <w:r w:rsidR="00C9532C">
        <w:t>this chart and the table mentioned in the above  question</w:t>
      </w:r>
      <w:r>
        <w:t>?</w:t>
      </w:r>
    </w:p>
    <w:p w:rsidR="002E555C" w:rsidRDefault="00C9532C" w:rsidP="002E555C">
      <w:pPr>
        <w:pStyle w:val="ListParagraph"/>
        <w:spacing w:before="240" w:after="0"/>
        <w:contextualSpacing w:val="0"/>
      </w:pPr>
      <w:r>
        <w:rPr>
          <w:noProof/>
          <w:lang w:val="en-US"/>
        </w:rPr>
        <w:drawing>
          <wp:inline distT="0" distB="0" distL="0" distR="0">
            <wp:extent cx="4857750" cy="2819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DE" w:rsidRDefault="005B12DE" w:rsidP="00C9532C">
      <w:pPr>
        <w:tabs>
          <w:tab w:val="left" w:pos="4253"/>
          <w:tab w:val="right" w:pos="5954"/>
        </w:tabs>
        <w:jc w:val="both"/>
      </w:pPr>
    </w:p>
    <w:p w:rsidR="00C9532C" w:rsidRPr="005B12DE" w:rsidRDefault="00C9532C" w:rsidP="00C9532C">
      <w:pPr>
        <w:tabs>
          <w:tab w:val="left" w:pos="4253"/>
          <w:tab w:val="right" w:pos="5954"/>
        </w:tabs>
        <w:jc w:val="both"/>
        <w:rPr>
          <w:b/>
        </w:rPr>
      </w:pPr>
      <w:r w:rsidRPr="005B12DE">
        <w:rPr>
          <w:b/>
        </w:rPr>
        <w:t xml:space="preserve">The following two questions are taken from previous exams. </w:t>
      </w:r>
    </w:p>
    <w:tbl>
      <w:tblPr>
        <w:tblW w:w="4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969"/>
      </w:tblGrid>
      <w:tr w:rsidR="00C9532C" w:rsidRPr="00C9532C" w:rsidTr="00BC50B1">
        <w:tc>
          <w:tcPr>
            <w:tcW w:w="3544" w:type="dxa"/>
          </w:tcPr>
          <w:p w:rsidR="00C9532C" w:rsidRPr="00C9532C" w:rsidRDefault="00C9532C" w:rsidP="00BC50B1">
            <w:pPr>
              <w:tabs>
                <w:tab w:val="left" w:pos="4253"/>
                <w:tab w:val="right" w:pos="5954"/>
              </w:tabs>
              <w:jc w:val="both"/>
            </w:pPr>
            <w:r w:rsidRPr="00C9532C">
              <w:t>Current account deficit</w:t>
            </w:r>
          </w:p>
        </w:tc>
        <w:tc>
          <w:tcPr>
            <w:tcW w:w="969" w:type="dxa"/>
          </w:tcPr>
          <w:p w:rsidR="00C9532C" w:rsidRPr="00C9532C" w:rsidRDefault="00C9532C" w:rsidP="00BC50B1">
            <w:pPr>
              <w:tabs>
                <w:tab w:val="left" w:pos="4253"/>
                <w:tab w:val="right" w:pos="5954"/>
              </w:tabs>
              <w:jc w:val="right"/>
            </w:pPr>
            <w:r w:rsidRPr="00C9532C">
              <w:t>32,192</w:t>
            </w:r>
          </w:p>
        </w:tc>
      </w:tr>
      <w:tr w:rsidR="00C9532C" w:rsidRPr="00C9532C" w:rsidTr="00BC50B1">
        <w:tc>
          <w:tcPr>
            <w:tcW w:w="3544" w:type="dxa"/>
          </w:tcPr>
          <w:p w:rsidR="00C9532C" w:rsidRPr="00C9532C" w:rsidRDefault="00C9532C" w:rsidP="00BC50B1">
            <w:pPr>
              <w:tabs>
                <w:tab w:val="left" w:pos="4253"/>
                <w:tab w:val="right" w:pos="5954"/>
              </w:tabs>
              <w:jc w:val="both"/>
            </w:pPr>
            <w:r w:rsidRPr="00C9532C">
              <w:t xml:space="preserve">Capital and Financial account surplus </w:t>
            </w:r>
            <w:r w:rsidRPr="00C9532C">
              <w:rPr>
                <w:i/>
              </w:rPr>
              <w:t>(excluding changes in reserves)</w:t>
            </w:r>
          </w:p>
        </w:tc>
        <w:tc>
          <w:tcPr>
            <w:tcW w:w="969" w:type="dxa"/>
          </w:tcPr>
          <w:p w:rsidR="00C9532C" w:rsidRPr="00C9532C" w:rsidRDefault="00C9532C" w:rsidP="00BC50B1">
            <w:pPr>
              <w:tabs>
                <w:tab w:val="left" w:pos="4253"/>
                <w:tab w:val="right" w:pos="5954"/>
              </w:tabs>
              <w:jc w:val="right"/>
            </w:pPr>
            <w:r w:rsidRPr="00C9532C">
              <w:t>10,703</w:t>
            </w:r>
          </w:p>
        </w:tc>
      </w:tr>
      <w:tr w:rsidR="00C9532C" w:rsidRPr="00C9532C" w:rsidTr="00BC50B1">
        <w:tc>
          <w:tcPr>
            <w:tcW w:w="3544" w:type="dxa"/>
          </w:tcPr>
          <w:p w:rsidR="00C9532C" w:rsidRPr="00C9532C" w:rsidRDefault="00C9532C" w:rsidP="00BC50B1">
            <w:pPr>
              <w:tabs>
                <w:tab w:val="left" w:pos="4253"/>
                <w:tab w:val="right" w:pos="5954"/>
              </w:tabs>
              <w:jc w:val="both"/>
            </w:pPr>
            <w:r w:rsidRPr="00C9532C">
              <w:t>Change in Reserve Assets (</w:t>
            </w:r>
            <w:r w:rsidRPr="00C9532C">
              <w:rPr>
                <w:i/>
              </w:rPr>
              <w:t>decrease</w:t>
            </w:r>
            <w:r w:rsidRPr="00C9532C">
              <w:t>)</w:t>
            </w:r>
          </w:p>
        </w:tc>
        <w:tc>
          <w:tcPr>
            <w:tcW w:w="969" w:type="dxa"/>
          </w:tcPr>
          <w:p w:rsidR="00C9532C" w:rsidRPr="00C9532C" w:rsidRDefault="00C9532C" w:rsidP="00BC50B1">
            <w:pPr>
              <w:tabs>
                <w:tab w:val="left" w:pos="4253"/>
                <w:tab w:val="right" w:pos="5954"/>
              </w:tabs>
              <w:jc w:val="right"/>
            </w:pPr>
            <w:r w:rsidRPr="00C9532C">
              <w:t>11,831</w:t>
            </w:r>
          </w:p>
        </w:tc>
      </w:tr>
      <w:tr w:rsidR="00C9532C" w:rsidRPr="00C9532C" w:rsidTr="00BC50B1">
        <w:tc>
          <w:tcPr>
            <w:tcW w:w="3544" w:type="dxa"/>
          </w:tcPr>
          <w:p w:rsidR="00C9532C" w:rsidRPr="00C9532C" w:rsidRDefault="00C9532C" w:rsidP="00BC50B1">
            <w:pPr>
              <w:tabs>
                <w:tab w:val="left" w:pos="4253"/>
                <w:tab w:val="right" w:pos="5954"/>
              </w:tabs>
              <w:jc w:val="both"/>
              <w:rPr>
                <w:i/>
              </w:rPr>
            </w:pPr>
            <w:r w:rsidRPr="00C9532C">
              <w:t>Net errors and omissions (</w:t>
            </w:r>
            <w:r w:rsidRPr="00C9532C">
              <w:rPr>
                <w:i/>
              </w:rPr>
              <w:t>may be increase or decrease)</w:t>
            </w:r>
          </w:p>
        </w:tc>
        <w:tc>
          <w:tcPr>
            <w:tcW w:w="969" w:type="dxa"/>
          </w:tcPr>
          <w:p w:rsidR="00C9532C" w:rsidRPr="00C9532C" w:rsidRDefault="00C9532C" w:rsidP="00BC50B1">
            <w:pPr>
              <w:tabs>
                <w:tab w:val="left" w:pos="4253"/>
                <w:tab w:val="right" w:pos="5954"/>
              </w:tabs>
              <w:jc w:val="right"/>
            </w:pPr>
            <w:r w:rsidRPr="00C9532C">
              <w:t>9,658</w:t>
            </w:r>
          </w:p>
        </w:tc>
      </w:tr>
    </w:tbl>
    <w:p w:rsidR="00C9532C" w:rsidRPr="00C9532C" w:rsidRDefault="00C9532C" w:rsidP="00C9532C">
      <w:pPr>
        <w:tabs>
          <w:tab w:val="left" w:pos="4253"/>
          <w:tab w:val="right" w:pos="5954"/>
        </w:tabs>
        <w:jc w:val="both"/>
      </w:pPr>
    </w:p>
    <w:p w:rsidR="00C9532C" w:rsidRPr="00C9532C" w:rsidRDefault="00C9532C" w:rsidP="005B12DE">
      <w:pPr>
        <w:pStyle w:val="ListParagraph"/>
        <w:numPr>
          <w:ilvl w:val="0"/>
          <w:numId w:val="1"/>
        </w:numPr>
        <w:tabs>
          <w:tab w:val="left" w:pos="4253"/>
          <w:tab w:val="right" w:pos="5954"/>
        </w:tabs>
        <w:spacing w:after="0" w:line="240" w:lineRule="auto"/>
        <w:jc w:val="both"/>
      </w:pPr>
      <w:r w:rsidRPr="00C9532C">
        <w:t xml:space="preserve">Consider the information above which shows the balance of payments figures for Turkey during 2015. Figures are expressed in millions of US$. Based on this information, what can you infer about the Turkish economy as of the said period? </w:t>
      </w:r>
    </w:p>
    <w:p w:rsidR="00C9532C" w:rsidRPr="00C9532C" w:rsidRDefault="00C9532C" w:rsidP="00C9532C">
      <w:pPr>
        <w:numPr>
          <w:ilvl w:val="0"/>
          <w:numId w:val="12"/>
        </w:numPr>
        <w:tabs>
          <w:tab w:val="clear" w:pos="360"/>
          <w:tab w:val="num" w:pos="720"/>
          <w:tab w:val="left" w:pos="4253"/>
          <w:tab w:val="right" w:pos="5954"/>
        </w:tabs>
        <w:spacing w:after="0" w:line="240" w:lineRule="auto"/>
        <w:ind w:left="720"/>
        <w:jc w:val="both"/>
      </w:pPr>
      <w:r w:rsidRPr="00C9532C">
        <w:t>GNP exceeds aggregate demand and there is a net inflow of capital .</w:t>
      </w:r>
    </w:p>
    <w:p w:rsidR="00C9532C" w:rsidRPr="00C9532C" w:rsidRDefault="00C9532C" w:rsidP="00C9532C">
      <w:pPr>
        <w:numPr>
          <w:ilvl w:val="0"/>
          <w:numId w:val="12"/>
        </w:numPr>
        <w:tabs>
          <w:tab w:val="clear" w:pos="360"/>
          <w:tab w:val="num" w:pos="720"/>
          <w:tab w:val="left" w:pos="4253"/>
          <w:tab w:val="right" w:pos="5954"/>
        </w:tabs>
        <w:spacing w:after="0" w:line="240" w:lineRule="auto"/>
        <w:ind w:left="720"/>
        <w:jc w:val="both"/>
      </w:pPr>
      <w:r w:rsidRPr="00C9532C">
        <w:t>GNP exceeds aggregate demand and there is a net outflow of capital .</w:t>
      </w:r>
    </w:p>
    <w:p w:rsidR="00C9532C" w:rsidRPr="005B12DE" w:rsidRDefault="00C9532C" w:rsidP="00C9532C">
      <w:pPr>
        <w:numPr>
          <w:ilvl w:val="0"/>
          <w:numId w:val="12"/>
        </w:numPr>
        <w:tabs>
          <w:tab w:val="clear" w:pos="360"/>
          <w:tab w:val="num" w:pos="720"/>
          <w:tab w:val="left" w:pos="4253"/>
          <w:tab w:val="right" w:pos="5954"/>
        </w:tabs>
        <w:spacing w:after="0" w:line="240" w:lineRule="auto"/>
        <w:ind w:left="720"/>
        <w:jc w:val="both"/>
      </w:pPr>
      <w:r w:rsidRPr="00C9532C">
        <w:t xml:space="preserve">Aggregate demand exceeds GNP and there is a net outflow of capital </w:t>
      </w:r>
      <w:r w:rsidRPr="005B12DE">
        <w:t>.</w:t>
      </w:r>
    </w:p>
    <w:p w:rsidR="00C9532C" w:rsidRPr="005B12DE" w:rsidRDefault="00C9532C" w:rsidP="00C9532C">
      <w:pPr>
        <w:numPr>
          <w:ilvl w:val="0"/>
          <w:numId w:val="12"/>
        </w:numPr>
        <w:tabs>
          <w:tab w:val="clear" w:pos="360"/>
          <w:tab w:val="num" w:pos="720"/>
          <w:tab w:val="left" w:pos="4253"/>
          <w:tab w:val="right" w:pos="5954"/>
        </w:tabs>
        <w:spacing w:after="0" w:line="240" w:lineRule="auto"/>
        <w:ind w:left="720"/>
        <w:jc w:val="both"/>
      </w:pPr>
      <w:r w:rsidRPr="005B12DE">
        <w:t>Aggregate demand exceeds GNP and there is a net inflow of capital .</w:t>
      </w:r>
    </w:p>
    <w:p w:rsidR="00C9532C" w:rsidRPr="00C9532C" w:rsidRDefault="00C9532C" w:rsidP="00C9532C">
      <w:pPr>
        <w:widowControl w:val="0"/>
        <w:tabs>
          <w:tab w:val="left" w:pos="4253"/>
          <w:tab w:val="right" w:pos="5954"/>
        </w:tabs>
        <w:ind w:left="720"/>
        <w:jc w:val="both"/>
      </w:pPr>
    </w:p>
    <w:p w:rsidR="00C9532C" w:rsidRPr="00C9532C" w:rsidRDefault="00C9532C" w:rsidP="005B12DE">
      <w:pPr>
        <w:numPr>
          <w:ilvl w:val="0"/>
          <w:numId w:val="1"/>
        </w:numPr>
        <w:tabs>
          <w:tab w:val="left" w:pos="4253"/>
          <w:tab w:val="right" w:pos="5954"/>
        </w:tabs>
        <w:spacing w:after="0" w:line="240" w:lineRule="auto"/>
        <w:jc w:val="both"/>
      </w:pPr>
      <w:r w:rsidRPr="00C9532C">
        <w:t xml:space="preserve">Consider the information given above. Based on this information, what can you infer about the Turkish economy as of the said period? </w:t>
      </w:r>
    </w:p>
    <w:p w:rsidR="00C9532C" w:rsidRPr="00C9532C" w:rsidRDefault="00C9532C" w:rsidP="005B12DE">
      <w:pPr>
        <w:numPr>
          <w:ilvl w:val="1"/>
          <w:numId w:val="1"/>
        </w:numPr>
        <w:tabs>
          <w:tab w:val="num" w:pos="570"/>
          <w:tab w:val="left" w:pos="4253"/>
          <w:tab w:val="right" w:pos="5954"/>
        </w:tabs>
        <w:spacing w:before="120" w:after="0" w:line="240" w:lineRule="auto"/>
        <w:ind w:left="567" w:hanging="227"/>
        <w:jc w:val="both"/>
      </w:pPr>
      <w:r w:rsidRPr="00C9532C">
        <w:t>There is an overall payments surplus of  (21,489) in the balance of payments and an decrease in reserve assets (11,831) and an</w:t>
      </w:r>
      <w:r w:rsidR="00F41DBC">
        <w:t xml:space="preserve"> unrecorded outflow of foreign e</w:t>
      </w:r>
      <w:r w:rsidRPr="00C9532C">
        <w:t>xchange (9,658).</w:t>
      </w:r>
    </w:p>
    <w:p w:rsidR="00C9532C" w:rsidRPr="005B12DE" w:rsidRDefault="00C9532C" w:rsidP="005B12DE">
      <w:pPr>
        <w:numPr>
          <w:ilvl w:val="1"/>
          <w:numId w:val="1"/>
        </w:numPr>
        <w:tabs>
          <w:tab w:val="num" w:pos="570"/>
          <w:tab w:val="left" w:pos="4253"/>
          <w:tab w:val="right" w:pos="5954"/>
        </w:tabs>
        <w:spacing w:before="120" w:after="0" w:line="240" w:lineRule="auto"/>
        <w:ind w:left="567" w:hanging="227"/>
        <w:jc w:val="both"/>
      </w:pPr>
      <w:r w:rsidRPr="005B12DE">
        <w:lastRenderedPageBreak/>
        <w:t xml:space="preserve">There is an overall payments gap of (21,489) in the balance of payments and it is covered by a depletion in reserve assets (11,831) and an unrecorded influx of foreign exchange (9,658). </w:t>
      </w:r>
    </w:p>
    <w:p w:rsidR="00C9532C" w:rsidRPr="00C9532C" w:rsidRDefault="00C9532C" w:rsidP="005B12DE">
      <w:pPr>
        <w:numPr>
          <w:ilvl w:val="1"/>
          <w:numId w:val="1"/>
        </w:numPr>
        <w:tabs>
          <w:tab w:val="num" w:pos="570"/>
          <w:tab w:val="left" w:pos="4253"/>
          <w:tab w:val="right" w:pos="5954"/>
        </w:tabs>
        <w:spacing w:before="120" w:after="0" w:line="240" w:lineRule="auto"/>
        <w:ind w:left="567" w:hanging="227"/>
        <w:jc w:val="both"/>
      </w:pPr>
      <w:r w:rsidRPr="00C9532C">
        <w:t xml:space="preserve">There is an overall payments gap of (32,192) in the balance of payments, reserve assets reached the level of 11,831 and an unrecorded inflow of foreign exchange ( 9,658 ). </w:t>
      </w:r>
    </w:p>
    <w:p w:rsidR="00C9532C" w:rsidRPr="00C9532C" w:rsidRDefault="00C9532C" w:rsidP="005B12DE">
      <w:pPr>
        <w:numPr>
          <w:ilvl w:val="1"/>
          <w:numId w:val="1"/>
        </w:numPr>
        <w:tabs>
          <w:tab w:val="num" w:pos="570"/>
          <w:tab w:val="left" w:pos="4253"/>
          <w:tab w:val="right" w:pos="5954"/>
        </w:tabs>
        <w:spacing w:before="120" w:after="0" w:line="240" w:lineRule="auto"/>
        <w:ind w:left="567" w:hanging="227"/>
        <w:jc w:val="both"/>
      </w:pPr>
      <w:r w:rsidRPr="00C9532C">
        <w:t xml:space="preserve">There is an overall payments surplus of (32,192)  in the balance of payments, a decrease in reserve assets (11,831) and an unrecorded inflow of foreign exchange (9,658). </w:t>
      </w:r>
    </w:p>
    <w:p w:rsidR="002E555C" w:rsidRPr="00C9532C" w:rsidRDefault="002E555C" w:rsidP="00C9532C">
      <w:pPr>
        <w:pStyle w:val="ListParagraph"/>
        <w:spacing w:before="240" w:after="0"/>
        <w:contextualSpacing w:val="0"/>
      </w:pPr>
    </w:p>
    <w:sectPr w:rsidR="002E555C" w:rsidRPr="00C9532C" w:rsidSect="00723A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7D" w:rsidRDefault="00986E7D" w:rsidP="002021EC">
      <w:pPr>
        <w:spacing w:after="0" w:line="240" w:lineRule="auto"/>
      </w:pPr>
      <w:r>
        <w:separator/>
      </w:r>
    </w:p>
  </w:endnote>
  <w:endnote w:type="continuationSeparator" w:id="0">
    <w:p w:rsidR="00986E7D" w:rsidRDefault="00986E7D" w:rsidP="0020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63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1EC" w:rsidRDefault="00202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6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21EC" w:rsidRDefault="00202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7D" w:rsidRDefault="00986E7D" w:rsidP="002021EC">
      <w:pPr>
        <w:spacing w:after="0" w:line="240" w:lineRule="auto"/>
      </w:pPr>
      <w:r>
        <w:separator/>
      </w:r>
    </w:p>
  </w:footnote>
  <w:footnote w:type="continuationSeparator" w:id="0">
    <w:p w:rsidR="00986E7D" w:rsidRDefault="00986E7D" w:rsidP="0020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831"/>
    <w:multiLevelType w:val="multilevel"/>
    <w:tmpl w:val="340C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03D81"/>
    <w:multiLevelType w:val="hybridMultilevel"/>
    <w:tmpl w:val="7820C4A0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E6F2C"/>
    <w:multiLevelType w:val="singleLevel"/>
    <w:tmpl w:val="15EA30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405C5"/>
    <w:multiLevelType w:val="hybridMultilevel"/>
    <w:tmpl w:val="5A5ABAAE"/>
    <w:lvl w:ilvl="0" w:tplc="3B160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A0067"/>
    <w:multiLevelType w:val="hybridMultilevel"/>
    <w:tmpl w:val="4C3C23F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D2568"/>
    <w:multiLevelType w:val="hybridMultilevel"/>
    <w:tmpl w:val="08C85D6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E73B9"/>
    <w:multiLevelType w:val="hybridMultilevel"/>
    <w:tmpl w:val="35D247D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E34CDE"/>
    <w:multiLevelType w:val="hybridMultilevel"/>
    <w:tmpl w:val="48F8B5B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4C0A6D"/>
    <w:multiLevelType w:val="hybridMultilevel"/>
    <w:tmpl w:val="E3827774"/>
    <w:lvl w:ilvl="0" w:tplc="3B160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76748"/>
    <w:multiLevelType w:val="hybridMultilevel"/>
    <w:tmpl w:val="0B1ECB3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8C185B"/>
    <w:multiLevelType w:val="hybridMultilevel"/>
    <w:tmpl w:val="F72C080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7C38F7"/>
    <w:multiLevelType w:val="hybridMultilevel"/>
    <w:tmpl w:val="BFB4EA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1A"/>
    <w:rsid w:val="000505CE"/>
    <w:rsid w:val="0008281F"/>
    <w:rsid w:val="000E5007"/>
    <w:rsid w:val="000F1673"/>
    <w:rsid w:val="00165CD5"/>
    <w:rsid w:val="0018377A"/>
    <w:rsid w:val="00185368"/>
    <w:rsid w:val="001A67AC"/>
    <w:rsid w:val="002021EC"/>
    <w:rsid w:val="00204753"/>
    <w:rsid w:val="00283378"/>
    <w:rsid w:val="00293F23"/>
    <w:rsid w:val="002E555C"/>
    <w:rsid w:val="00366480"/>
    <w:rsid w:val="0037661B"/>
    <w:rsid w:val="003B5600"/>
    <w:rsid w:val="00410CC1"/>
    <w:rsid w:val="00415C13"/>
    <w:rsid w:val="004666FA"/>
    <w:rsid w:val="004902FB"/>
    <w:rsid w:val="004A5DAE"/>
    <w:rsid w:val="00544FD9"/>
    <w:rsid w:val="00553526"/>
    <w:rsid w:val="00554239"/>
    <w:rsid w:val="005756C8"/>
    <w:rsid w:val="00586F50"/>
    <w:rsid w:val="005A0E02"/>
    <w:rsid w:val="005B12DE"/>
    <w:rsid w:val="005B7EB9"/>
    <w:rsid w:val="005D70BC"/>
    <w:rsid w:val="00606F04"/>
    <w:rsid w:val="00723A71"/>
    <w:rsid w:val="008D0B3F"/>
    <w:rsid w:val="008D2272"/>
    <w:rsid w:val="008D69B8"/>
    <w:rsid w:val="008D743E"/>
    <w:rsid w:val="008E02EF"/>
    <w:rsid w:val="0093351A"/>
    <w:rsid w:val="009364D5"/>
    <w:rsid w:val="0094588B"/>
    <w:rsid w:val="00986E7D"/>
    <w:rsid w:val="00A06AA5"/>
    <w:rsid w:val="00A32315"/>
    <w:rsid w:val="00B31F83"/>
    <w:rsid w:val="00B64EC2"/>
    <w:rsid w:val="00BF4614"/>
    <w:rsid w:val="00C37445"/>
    <w:rsid w:val="00C9532C"/>
    <w:rsid w:val="00E73B33"/>
    <w:rsid w:val="00E81A3C"/>
    <w:rsid w:val="00E90EAD"/>
    <w:rsid w:val="00EB504A"/>
    <w:rsid w:val="00F4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4DFB"/>
  <w15:docId w15:val="{854748C4-7C65-4DAA-87B6-B9B1FF98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1A"/>
    <w:pPr>
      <w:ind w:left="720"/>
      <w:contextualSpacing/>
    </w:pPr>
  </w:style>
  <w:style w:type="table" w:styleId="TableGrid">
    <w:name w:val="Table Grid"/>
    <w:basedOn w:val="TableNormal"/>
    <w:uiPriority w:val="59"/>
    <w:rsid w:val="005A0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EC"/>
  </w:style>
  <w:style w:type="paragraph" w:styleId="Footer">
    <w:name w:val="footer"/>
    <w:basedOn w:val="Normal"/>
    <w:link w:val="FooterChar"/>
    <w:uiPriority w:val="99"/>
    <w:unhideWhenUsed/>
    <w:rsid w:val="0020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EC"/>
  </w:style>
  <w:style w:type="paragraph" w:styleId="BalloonText">
    <w:name w:val="Balloon Text"/>
    <w:basedOn w:val="Normal"/>
    <w:link w:val="BalloonTextChar"/>
    <w:uiPriority w:val="99"/>
    <w:semiHidden/>
    <w:unhideWhenUsed/>
    <w:rsid w:val="002E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Tuncer</dc:creator>
  <cp:lastModifiedBy>Nihal Tuncer</cp:lastModifiedBy>
  <cp:revision>2</cp:revision>
  <dcterms:created xsi:type="dcterms:W3CDTF">2019-02-25T19:29:00Z</dcterms:created>
  <dcterms:modified xsi:type="dcterms:W3CDTF">2019-02-25T19:29:00Z</dcterms:modified>
</cp:coreProperties>
</file>