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A94" w:rsidRDefault="00076A94" w:rsidP="00076A94">
      <w:pPr>
        <w:spacing w:before="180" w:after="0" w:line="240" w:lineRule="auto"/>
        <w:outlineLvl w:val="2"/>
        <w:rPr>
          <w:rFonts w:ascii="Arial" w:eastAsia="Times New Roman" w:hAnsi="Arial" w:cs="Arial"/>
          <w:b/>
          <w:bCs/>
          <w:sz w:val="38"/>
          <w:szCs w:val="38"/>
        </w:rPr>
      </w:pPr>
      <w:proofErr w:type="spellStart"/>
      <w:r>
        <w:rPr>
          <w:rFonts w:ascii="Arial" w:eastAsia="Times New Roman" w:hAnsi="Arial" w:cs="Arial"/>
          <w:b/>
          <w:bCs/>
          <w:sz w:val="38"/>
          <w:szCs w:val="38"/>
        </w:rPr>
        <w:t>Mahfi</w:t>
      </w:r>
      <w:proofErr w:type="spellEnd"/>
      <w:r>
        <w:rPr>
          <w:rFonts w:ascii="Arial" w:eastAsia="Times New Roman" w:hAnsi="Arial" w:cs="Arial"/>
          <w:b/>
          <w:bCs/>
          <w:sz w:val="38"/>
          <w:szCs w:val="3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38"/>
          <w:szCs w:val="38"/>
        </w:rPr>
        <w:t>Eğilmez</w:t>
      </w:r>
      <w:proofErr w:type="spellEnd"/>
      <w:r>
        <w:rPr>
          <w:rFonts w:ascii="Arial" w:eastAsia="Times New Roman" w:hAnsi="Arial" w:cs="Arial"/>
          <w:b/>
          <w:bCs/>
          <w:sz w:val="38"/>
          <w:szCs w:val="38"/>
        </w:rPr>
        <w:t xml:space="preserve"> 14 </w:t>
      </w:r>
      <w:proofErr w:type="spellStart"/>
      <w:r>
        <w:rPr>
          <w:rFonts w:ascii="Arial" w:eastAsia="Times New Roman" w:hAnsi="Arial" w:cs="Arial"/>
          <w:b/>
          <w:bCs/>
          <w:sz w:val="38"/>
          <w:szCs w:val="38"/>
        </w:rPr>
        <w:t>Şubat</w:t>
      </w:r>
      <w:proofErr w:type="spellEnd"/>
      <w:r>
        <w:rPr>
          <w:rFonts w:ascii="Arial" w:eastAsia="Times New Roman" w:hAnsi="Arial" w:cs="Arial"/>
          <w:b/>
          <w:bCs/>
          <w:sz w:val="38"/>
          <w:szCs w:val="38"/>
        </w:rPr>
        <w:t xml:space="preserve"> 2019</w:t>
      </w:r>
      <w:bookmarkStart w:id="0" w:name="_GoBack"/>
      <w:bookmarkEnd w:id="0"/>
    </w:p>
    <w:p w:rsidR="00076A94" w:rsidRDefault="00076A94" w:rsidP="00076A94">
      <w:pPr>
        <w:spacing w:before="180" w:after="0" w:line="240" w:lineRule="auto"/>
        <w:outlineLvl w:val="2"/>
        <w:rPr>
          <w:rFonts w:ascii="Arial" w:eastAsia="Times New Roman" w:hAnsi="Arial" w:cs="Arial"/>
          <w:b/>
          <w:bCs/>
          <w:sz w:val="38"/>
          <w:szCs w:val="38"/>
        </w:rPr>
      </w:pPr>
      <w:r w:rsidRPr="00076A94">
        <w:rPr>
          <w:rFonts w:ascii="Arial" w:eastAsia="Times New Roman" w:hAnsi="Arial" w:cs="Arial"/>
          <w:b/>
          <w:bCs/>
          <w:sz w:val="38"/>
          <w:szCs w:val="38"/>
        </w:rPr>
        <w:t>http://www.mahfiegilmez.com/2019/02/cari-ack-nasl-finanse-edildi.html</w:t>
      </w:r>
    </w:p>
    <w:p w:rsidR="00076A94" w:rsidRPr="00076A94" w:rsidRDefault="00076A94" w:rsidP="00076A94">
      <w:pPr>
        <w:spacing w:before="180" w:after="0" w:line="240" w:lineRule="auto"/>
        <w:outlineLvl w:val="2"/>
        <w:rPr>
          <w:rFonts w:ascii="Arial" w:eastAsia="Times New Roman" w:hAnsi="Arial" w:cs="Arial"/>
          <w:b/>
          <w:bCs/>
          <w:sz w:val="38"/>
          <w:szCs w:val="38"/>
        </w:rPr>
      </w:pPr>
      <w:proofErr w:type="spellStart"/>
      <w:r w:rsidRPr="00076A94">
        <w:rPr>
          <w:rFonts w:ascii="Arial" w:eastAsia="Times New Roman" w:hAnsi="Arial" w:cs="Arial"/>
          <w:b/>
          <w:bCs/>
          <w:sz w:val="38"/>
          <w:szCs w:val="38"/>
        </w:rPr>
        <w:t>Cari</w:t>
      </w:r>
      <w:proofErr w:type="spellEnd"/>
      <w:r w:rsidRPr="00076A94">
        <w:rPr>
          <w:rFonts w:ascii="Arial" w:eastAsia="Times New Roman" w:hAnsi="Arial" w:cs="Arial"/>
          <w:b/>
          <w:bCs/>
          <w:sz w:val="38"/>
          <w:szCs w:val="38"/>
        </w:rPr>
        <w:t xml:space="preserve"> </w:t>
      </w:r>
      <w:proofErr w:type="spellStart"/>
      <w:r w:rsidRPr="00076A94">
        <w:rPr>
          <w:rFonts w:ascii="Arial" w:eastAsia="Times New Roman" w:hAnsi="Arial" w:cs="Arial"/>
          <w:b/>
          <w:bCs/>
          <w:sz w:val="38"/>
          <w:szCs w:val="38"/>
        </w:rPr>
        <w:t>Açık</w:t>
      </w:r>
      <w:proofErr w:type="spellEnd"/>
      <w:r w:rsidRPr="00076A94">
        <w:rPr>
          <w:rFonts w:ascii="Arial" w:eastAsia="Times New Roman" w:hAnsi="Arial" w:cs="Arial"/>
          <w:b/>
          <w:bCs/>
          <w:sz w:val="38"/>
          <w:szCs w:val="38"/>
        </w:rPr>
        <w:t xml:space="preserve"> </w:t>
      </w:r>
      <w:proofErr w:type="spellStart"/>
      <w:r w:rsidRPr="00076A94">
        <w:rPr>
          <w:rFonts w:ascii="Arial" w:eastAsia="Times New Roman" w:hAnsi="Arial" w:cs="Arial"/>
          <w:b/>
          <w:bCs/>
          <w:sz w:val="38"/>
          <w:szCs w:val="38"/>
        </w:rPr>
        <w:t>Nasıl</w:t>
      </w:r>
      <w:proofErr w:type="spellEnd"/>
      <w:r w:rsidRPr="00076A94">
        <w:rPr>
          <w:rFonts w:ascii="Arial" w:eastAsia="Times New Roman" w:hAnsi="Arial" w:cs="Arial"/>
          <w:b/>
          <w:bCs/>
          <w:sz w:val="38"/>
          <w:szCs w:val="38"/>
        </w:rPr>
        <w:t xml:space="preserve"> </w:t>
      </w:r>
      <w:proofErr w:type="spellStart"/>
      <w:r w:rsidRPr="00076A94">
        <w:rPr>
          <w:rFonts w:ascii="Arial" w:eastAsia="Times New Roman" w:hAnsi="Arial" w:cs="Arial"/>
          <w:b/>
          <w:bCs/>
          <w:sz w:val="38"/>
          <w:szCs w:val="38"/>
        </w:rPr>
        <w:t>Finanse</w:t>
      </w:r>
      <w:proofErr w:type="spellEnd"/>
      <w:r w:rsidRPr="00076A94">
        <w:rPr>
          <w:rFonts w:ascii="Arial" w:eastAsia="Times New Roman" w:hAnsi="Arial" w:cs="Arial"/>
          <w:b/>
          <w:bCs/>
          <w:sz w:val="38"/>
          <w:szCs w:val="38"/>
        </w:rPr>
        <w:t xml:space="preserve"> </w:t>
      </w:r>
      <w:proofErr w:type="spellStart"/>
      <w:r w:rsidRPr="00076A94">
        <w:rPr>
          <w:rFonts w:ascii="Arial" w:eastAsia="Times New Roman" w:hAnsi="Arial" w:cs="Arial"/>
          <w:b/>
          <w:bCs/>
          <w:sz w:val="38"/>
          <w:szCs w:val="38"/>
        </w:rPr>
        <w:t>Edildi</w:t>
      </w:r>
      <w:proofErr w:type="spellEnd"/>
      <w:r w:rsidRPr="00076A94">
        <w:rPr>
          <w:rFonts w:ascii="Arial" w:eastAsia="Times New Roman" w:hAnsi="Arial" w:cs="Arial"/>
          <w:b/>
          <w:bCs/>
          <w:sz w:val="38"/>
          <w:szCs w:val="38"/>
        </w:rPr>
        <w:t>?</w:t>
      </w:r>
    </w:p>
    <w:p w:rsidR="00076A94" w:rsidRPr="00076A94" w:rsidRDefault="00076A94" w:rsidP="00076A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Yaklaşık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27</w:t>
      </w:r>
      <w:proofErr w:type="gramStart"/>
      <w:r w:rsidRPr="00076A94">
        <w:rPr>
          <w:rFonts w:ascii="Times New Roman" w:eastAsia="Times New Roman" w:hAnsi="Times New Roman" w:cs="Times New Roman"/>
          <w:sz w:val="21"/>
          <w:szCs w:val="21"/>
        </w:rPr>
        <w:t>,6</w:t>
      </w:r>
      <w:proofErr w:type="gram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milyar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dolar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olarak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açıklanan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2018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yılı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cari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açığı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son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yılların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en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düşük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açıklarından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birisi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oldu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Eğer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GSYH,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YEP’de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öngörüldüğü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gibi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763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milyar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dolar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olursa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cari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denge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/ GSYH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oranı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da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yüzde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3</w:t>
      </w:r>
      <w:proofErr w:type="gramStart"/>
      <w:r w:rsidRPr="00076A94">
        <w:rPr>
          <w:rFonts w:ascii="Times New Roman" w:eastAsia="Times New Roman" w:hAnsi="Times New Roman" w:cs="Times New Roman"/>
          <w:sz w:val="21"/>
          <w:szCs w:val="21"/>
        </w:rPr>
        <w:t>,6</w:t>
      </w:r>
      <w:proofErr w:type="gram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ile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yine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son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yılların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en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düşük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cari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açığı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olacak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076A94" w:rsidRPr="00076A94" w:rsidRDefault="00076A94" w:rsidP="00076A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076A94" w:rsidRPr="00076A94" w:rsidRDefault="00076A94" w:rsidP="00076A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76A94">
        <w:rPr>
          <w:rFonts w:ascii="Times New Roman" w:eastAsia="Times New Roman" w:hAnsi="Times New Roman" w:cs="Times New Roman"/>
          <w:sz w:val="21"/>
          <w:szCs w:val="21"/>
        </w:rPr>
        <w:t>27</w:t>
      </w:r>
      <w:proofErr w:type="gramStart"/>
      <w:r w:rsidRPr="00076A94">
        <w:rPr>
          <w:rFonts w:ascii="Times New Roman" w:eastAsia="Times New Roman" w:hAnsi="Times New Roman" w:cs="Times New Roman"/>
          <w:sz w:val="21"/>
          <w:szCs w:val="21"/>
        </w:rPr>
        <w:t>,6</w:t>
      </w:r>
      <w:proofErr w:type="gram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milyar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dolarlık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cari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açığı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nasıl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finanse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ettiğimiz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sorusuna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gelince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karşımıza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çok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ilginç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bir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tablo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çıkıyor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076A94" w:rsidRPr="00076A94" w:rsidRDefault="00076A94" w:rsidP="00076A9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bookmarkStart w:id="1" w:name="more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6"/>
        <w:gridCol w:w="995"/>
        <w:gridCol w:w="995"/>
        <w:gridCol w:w="994"/>
        <w:gridCol w:w="994"/>
      </w:tblGrid>
      <w:tr w:rsidR="00076A94" w:rsidRPr="00076A94" w:rsidTr="00076A94">
        <w:trPr>
          <w:trHeight w:val="264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divId w:val="10990580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  <w:t>ÖDEMELER DENGESİ (</w:t>
            </w:r>
            <w:proofErr w:type="spellStart"/>
            <w:r w:rsidRPr="00076A94"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  <w:t>Milyon</w:t>
            </w:r>
            <w:proofErr w:type="spellEnd"/>
            <w:r w:rsidRPr="00076A94"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  <w:t xml:space="preserve"> USD)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  <w:t>2018</w:t>
            </w:r>
          </w:p>
        </w:tc>
      </w:tr>
      <w:tr w:rsidR="00076A94" w:rsidRPr="00076A94" w:rsidTr="00076A94">
        <w:trPr>
          <w:trHeight w:val="264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  <w:t>CARİ İŞLEMLER DENGESİ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  <w:t>-32.109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  <w:t>-33.137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  <w:t>-47.100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  <w:t>-27.633</w:t>
            </w:r>
          </w:p>
        </w:tc>
      </w:tr>
      <w:tr w:rsidR="00076A94" w:rsidRPr="00076A94" w:rsidTr="00076A94">
        <w:trPr>
          <w:trHeight w:val="264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İhracat</w:t>
            </w:r>
            <w:proofErr w:type="spellEnd"/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 xml:space="preserve"> (FOB)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151.970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150.161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165.775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174.742</w:t>
            </w:r>
          </w:p>
        </w:tc>
      </w:tr>
      <w:tr w:rsidR="00076A94" w:rsidRPr="00076A94" w:rsidTr="00076A94">
        <w:trPr>
          <w:trHeight w:val="264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İthalat</w:t>
            </w:r>
            <w:proofErr w:type="spellEnd"/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 xml:space="preserve"> (FOB)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200.098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191.053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224.411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216.327</w:t>
            </w:r>
          </w:p>
        </w:tc>
      </w:tr>
      <w:tr w:rsidR="00076A94" w:rsidRPr="00076A94" w:rsidTr="00076A94">
        <w:trPr>
          <w:trHeight w:val="264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  <w:t xml:space="preserve">Mal </w:t>
            </w:r>
            <w:proofErr w:type="spellStart"/>
            <w:r w:rsidRPr="00076A94"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  <w:t>Dengesi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  <w:t>-48.128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  <w:t>-40.892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  <w:t>-58.636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  <w:t>-41.585</w:t>
            </w:r>
          </w:p>
        </w:tc>
      </w:tr>
      <w:tr w:rsidR="00076A94" w:rsidRPr="00076A94" w:rsidTr="00076A94">
        <w:trPr>
          <w:trHeight w:val="264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Hizmet</w:t>
            </w:r>
            <w:proofErr w:type="spellEnd"/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Gelirleri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46.632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37.391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43.925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47.813</w:t>
            </w:r>
          </w:p>
        </w:tc>
      </w:tr>
      <w:tr w:rsidR="00076A94" w:rsidRPr="00076A94" w:rsidTr="00076A94">
        <w:trPr>
          <w:trHeight w:val="264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Hizmet</w:t>
            </w:r>
            <w:proofErr w:type="spellEnd"/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Giderleri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22.404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22.128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23.792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23.043</w:t>
            </w:r>
          </w:p>
        </w:tc>
      </w:tr>
      <w:tr w:rsidR="00076A94" w:rsidRPr="00076A94" w:rsidTr="00076A94">
        <w:trPr>
          <w:trHeight w:val="264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  <w:t xml:space="preserve">Mal </w:t>
            </w:r>
            <w:proofErr w:type="spellStart"/>
            <w:r w:rsidRPr="00076A94"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  <w:t>ve</w:t>
            </w:r>
            <w:proofErr w:type="spellEnd"/>
            <w:r w:rsidRPr="00076A94"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76A94"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  <w:t>Hizmet</w:t>
            </w:r>
            <w:proofErr w:type="spellEnd"/>
            <w:r w:rsidRPr="00076A94"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76A94"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  <w:t>Dengesi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  <w:t>-23.900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  <w:t>-25.629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  <w:t>-38.503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  <w:t>-16.815</w:t>
            </w:r>
          </w:p>
        </w:tc>
      </w:tr>
      <w:tr w:rsidR="00076A94" w:rsidRPr="00076A94" w:rsidTr="00076A94">
        <w:trPr>
          <w:trHeight w:val="264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Birincil</w:t>
            </w:r>
            <w:proofErr w:type="spellEnd"/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Yatırım</w:t>
            </w:r>
            <w:proofErr w:type="spellEnd"/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Kaynaklı</w:t>
            </w:r>
            <w:proofErr w:type="spellEnd"/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Gelirler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4.471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5.311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4.916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6.132</w:t>
            </w:r>
          </w:p>
        </w:tc>
      </w:tr>
      <w:tr w:rsidR="00076A94" w:rsidRPr="00076A94" w:rsidTr="00076A94">
        <w:trPr>
          <w:trHeight w:val="264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Birincil</w:t>
            </w:r>
            <w:proofErr w:type="spellEnd"/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Yatırım</w:t>
            </w:r>
            <w:proofErr w:type="spellEnd"/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Kaynaklı</w:t>
            </w:r>
            <w:proofErr w:type="spellEnd"/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Giderler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14.122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14.492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16.173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17.827</w:t>
            </w:r>
          </w:p>
        </w:tc>
      </w:tr>
      <w:tr w:rsidR="00076A94" w:rsidRPr="00076A94" w:rsidTr="00076A94">
        <w:trPr>
          <w:trHeight w:val="264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  <w:t xml:space="preserve">Mal, </w:t>
            </w:r>
            <w:proofErr w:type="spellStart"/>
            <w:r w:rsidRPr="00076A94"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  <w:t>Hizmet</w:t>
            </w:r>
            <w:proofErr w:type="spellEnd"/>
            <w:r w:rsidRPr="00076A94"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76A94"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  <w:t>ve</w:t>
            </w:r>
            <w:proofErr w:type="spellEnd"/>
            <w:r w:rsidRPr="00076A94"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76A94"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  <w:t>Birincil</w:t>
            </w:r>
            <w:proofErr w:type="spellEnd"/>
            <w:r w:rsidRPr="00076A94"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76A94"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  <w:t>Gelir</w:t>
            </w:r>
            <w:proofErr w:type="spellEnd"/>
            <w:r w:rsidRPr="00076A94"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76A94"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  <w:t>Dengesi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  <w:t>-33.551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  <w:t>-34.810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  <w:t>-49.760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  <w:t>-28.510</w:t>
            </w:r>
          </w:p>
        </w:tc>
      </w:tr>
      <w:tr w:rsidR="00076A94" w:rsidRPr="00076A94" w:rsidTr="00076A94">
        <w:trPr>
          <w:trHeight w:val="264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İkincil</w:t>
            </w:r>
            <w:proofErr w:type="spellEnd"/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Yatırım</w:t>
            </w:r>
            <w:proofErr w:type="spellEnd"/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Kaynaklı</w:t>
            </w:r>
            <w:proofErr w:type="spellEnd"/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Gelirler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1.442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1.673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2.660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877</w:t>
            </w:r>
          </w:p>
        </w:tc>
      </w:tr>
      <w:tr w:rsidR="00076A94" w:rsidRPr="00076A94" w:rsidTr="00076A94">
        <w:trPr>
          <w:trHeight w:val="264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  <w:t>SERMAYE HESABI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  <w:t>-21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  <w:t>58</w:t>
            </w:r>
          </w:p>
        </w:tc>
      </w:tr>
      <w:tr w:rsidR="00076A94" w:rsidRPr="00076A94" w:rsidTr="00076A94">
        <w:trPr>
          <w:trHeight w:val="264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  <w:t>FİNANS HESABI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  <w:t>-10.543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  <w:t>-22.958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  <w:t>-38.892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  <w:t>3.975</w:t>
            </w:r>
          </w:p>
        </w:tc>
      </w:tr>
      <w:tr w:rsidR="00076A94" w:rsidRPr="00076A94" w:rsidTr="00076A94">
        <w:trPr>
          <w:trHeight w:val="264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Doğrudan</w:t>
            </w:r>
            <w:proofErr w:type="spellEnd"/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Yatırımlar</w:t>
            </w:r>
            <w:proofErr w:type="spellEnd"/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 xml:space="preserve">: Net </w:t>
            </w:r>
            <w:proofErr w:type="spellStart"/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Varlık</w:t>
            </w:r>
            <w:proofErr w:type="spellEnd"/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Edinimi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5.096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3.147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2.702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3.637</w:t>
            </w:r>
          </w:p>
        </w:tc>
      </w:tr>
      <w:tr w:rsidR="00076A94" w:rsidRPr="00076A94" w:rsidTr="00076A94">
        <w:trPr>
          <w:trHeight w:val="264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Doğrudan</w:t>
            </w:r>
            <w:proofErr w:type="spellEnd"/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Yatırımlar</w:t>
            </w:r>
            <w:proofErr w:type="spellEnd"/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 xml:space="preserve">: Net </w:t>
            </w:r>
            <w:proofErr w:type="spellStart"/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Yükümlülük</w:t>
            </w:r>
            <w:proofErr w:type="spellEnd"/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Oluşumu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18.002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13.343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10.830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13.163</w:t>
            </w:r>
          </w:p>
        </w:tc>
      </w:tr>
      <w:tr w:rsidR="00076A94" w:rsidRPr="00076A94" w:rsidTr="00076A94">
        <w:trPr>
          <w:trHeight w:val="264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Portföy</w:t>
            </w:r>
            <w:proofErr w:type="spellEnd"/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Yatırımları</w:t>
            </w:r>
            <w:proofErr w:type="spellEnd"/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 xml:space="preserve">: Net </w:t>
            </w:r>
            <w:proofErr w:type="spellStart"/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Varlık</w:t>
            </w:r>
            <w:proofErr w:type="spellEnd"/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Edinimi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6.129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1.511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-228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3.175</w:t>
            </w:r>
          </w:p>
        </w:tc>
      </w:tr>
      <w:tr w:rsidR="00076A94" w:rsidRPr="00076A94" w:rsidTr="00076A94">
        <w:trPr>
          <w:trHeight w:val="264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Portföy</w:t>
            </w:r>
            <w:proofErr w:type="spellEnd"/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Yatırımları</w:t>
            </w:r>
            <w:proofErr w:type="spellEnd"/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 xml:space="preserve">: Net </w:t>
            </w:r>
            <w:proofErr w:type="spellStart"/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Yükümlülük</w:t>
            </w:r>
            <w:proofErr w:type="spellEnd"/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Oluşumu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-9.558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7.811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24.064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164</w:t>
            </w:r>
          </w:p>
        </w:tc>
      </w:tr>
      <w:tr w:rsidR="00076A94" w:rsidRPr="00076A94" w:rsidTr="00076A94">
        <w:trPr>
          <w:trHeight w:val="264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Diğer</w:t>
            </w:r>
            <w:proofErr w:type="spellEnd"/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Yatırımlar</w:t>
            </w:r>
            <w:proofErr w:type="spellEnd"/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 xml:space="preserve">: Net </w:t>
            </w:r>
            <w:proofErr w:type="spellStart"/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Varlık</w:t>
            </w:r>
            <w:proofErr w:type="spellEnd"/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Edinimi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14.992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6.144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8.045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10.947</w:t>
            </w:r>
          </w:p>
        </w:tc>
      </w:tr>
      <w:tr w:rsidR="00076A94" w:rsidRPr="00076A94" w:rsidTr="00076A94">
        <w:trPr>
          <w:trHeight w:val="264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Diğer</w:t>
            </w:r>
            <w:proofErr w:type="spellEnd"/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Yatırımlar</w:t>
            </w:r>
            <w:proofErr w:type="spellEnd"/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 xml:space="preserve">: Net </w:t>
            </w:r>
            <w:proofErr w:type="spellStart"/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Yükümlülük</w:t>
            </w:r>
            <w:proofErr w:type="spellEnd"/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Oluşumu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28.316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12.606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14.517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457</w:t>
            </w:r>
          </w:p>
        </w:tc>
      </w:tr>
      <w:tr w:rsidR="00076A94" w:rsidRPr="00076A94" w:rsidTr="00076A94">
        <w:trPr>
          <w:trHeight w:val="264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6A94"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  <w:t>Cari</w:t>
            </w:r>
            <w:proofErr w:type="spellEnd"/>
            <w:r w:rsidRPr="00076A94"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076A94"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  <w:t>Sermaye</w:t>
            </w:r>
            <w:proofErr w:type="spellEnd"/>
            <w:r w:rsidRPr="00076A94"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76A94"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  <w:t>ve</w:t>
            </w:r>
            <w:proofErr w:type="spellEnd"/>
            <w:r w:rsidRPr="00076A94"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76A94"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  <w:t>Finans</w:t>
            </w:r>
            <w:proofErr w:type="spellEnd"/>
            <w:r w:rsidRPr="00076A94"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76A94"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  <w:t>Hesapları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  <w:t>-21.587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  <w:t>-10.156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  <w:t>-8.191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  <w:t>-31.550</w:t>
            </w:r>
          </w:p>
        </w:tc>
      </w:tr>
      <w:tr w:rsidR="00076A94" w:rsidRPr="00076A94" w:rsidTr="00076A94">
        <w:trPr>
          <w:trHeight w:val="264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  <w:t>NET HATA VE NOKSAN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9.756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10.969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-16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21.173</w:t>
            </w:r>
          </w:p>
        </w:tc>
      </w:tr>
      <w:tr w:rsidR="00076A94" w:rsidRPr="00076A94" w:rsidTr="00076A94">
        <w:trPr>
          <w:trHeight w:val="264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  <w:t>GENEL DENGE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  <w:t>11.831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  <w:t>-813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  <w:t>8.207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  <w:t>10.377</w:t>
            </w:r>
          </w:p>
        </w:tc>
      </w:tr>
      <w:tr w:rsidR="00076A94" w:rsidRPr="00076A94" w:rsidTr="00076A94">
        <w:trPr>
          <w:trHeight w:val="264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  <w:t>REZERV VARLIKLAR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  <w:t>-11.831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  <w:t>813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  <w:t>-8.207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</w:rPr>
              <w:t>-10.377</w:t>
            </w:r>
          </w:p>
        </w:tc>
      </w:tr>
      <w:tr w:rsidR="00076A94" w:rsidRPr="00076A94" w:rsidTr="00076A94">
        <w:trPr>
          <w:trHeight w:val="264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   </w:t>
            </w:r>
            <w:proofErr w:type="spellStart"/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Resmi</w:t>
            </w:r>
            <w:proofErr w:type="spellEnd"/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Rezervler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-11.831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813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-8.207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-10.377</w:t>
            </w:r>
          </w:p>
        </w:tc>
      </w:tr>
      <w:tr w:rsidR="00076A94" w:rsidRPr="00076A94" w:rsidTr="00076A94">
        <w:trPr>
          <w:trHeight w:val="264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   </w:t>
            </w:r>
            <w:proofErr w:type="spellStart"/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Uluslararası</w:t>
            </w:r>
            <w:proofErr w:type="spellEnd"/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 xml:space="preserve"> Para </w:t>
            </w:r>
            <w:proofErr w:type="spellStart"/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Fonu</w:t>
            </w:r>
            <w:proofErr w:type="spellEnd"/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Kredileri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6A94" w:rsidRPr="00076A94" w:rsidRDefault="00076A94" w:rsidP="00076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94">
              <w:rPr>
                <w:rFonts w:ascii="Times New Roman TUR" w:eastAsia="Times New Roman" w:hAnsi="Times New Roman TUR" w:cs="Times New Roman TUR"/>
                <w:sz w:val="20"/>
                <w:szCs w:val="20"/>
              </w:rPr>
              <w:t>0</w:t>
            </w:r>
          </w:p>
        </w:tc>
      </w:tr>
    </w:tbl>
    <w:p w:rsidR="00076A94" w:rsidRPr="00076A94" w:rsidRDefault="00076A94" w:rsidP="00076A9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076A94" w:rsidRPr="00076A94" w:rsidRDefault="00076A94" w:rsidP="00076A9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076A94">
        <w:rPr>
          <w:rFonts w:ascii="Times New Roman" w:eastAsia="Times New Roman" w:hAnsi="Times New Roman" w:cs="Times New Roman"/>
          <w:b/>
          <w:bCs/>
          <w:sz w:val="21"/>
          <w:szCs w:val="21"/>
        </w:rPr>
        <w:t>Cari</w:t>
      </w:r>
      <w:proofErr w:type="spellEnd"/>
      <w:r w:rsidRPr="00076A94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b/>
          <w:bCs/>
          <w:sz w:val="21"/>
          <w:szCs w:val="21"/>
        </w:rPr>
        <w:t>Açığın</w:t>
      </w:r>
      <w:proofErr w:type="spellEnd"/>
      <w:r w:rsidRPr="00076A94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b/>
          <w:bCs/>
          <w:sz w:val="21"/>
          <w:szCs w:val="21"/>
        </w:rPr>
        <w:t>Doğuşu</w:t>
      </w:r>
      <w:proofErr w:type="spellEnd"/>
    </w:p>
    <w:p w:rsidR="00076A94" w:rsidRPr="00076A94" w:rsidRDefault="00076A94" w:rsidP="00076A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(1)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İhracatın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rekor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kırmış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olması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TL’nin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bu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proofErr w:type="gramStart"/>
      <w:r w:rsidRPr="00076A94">
        <w:rPr>
          <w:rFonts w:ascii="Times New Roman" w:eastAsia="Times New Roman" w:hAnsi="Times New Roman" w:cs="Times New Roman"/>
          <w:sz w:val="21"/>
          <w:szCs w:val="21"/>
        </w:rPr>
        <w:t>kadar</w:t>
      </w:r>
      <w:proofErr w:type="spellEnd"/>
      <w:proofErr w:type="gram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değer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kaybettiği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başlıca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ihracat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alanlarımız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olan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Avrupa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Birliği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ve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ABD’nin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ithalatı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artırdığı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Irak’ın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da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önemli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ölçüde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ithalat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yaptığı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bir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ortamda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son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derecede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normal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bir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gelişme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. (2)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İthalatın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gerilemiş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olması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da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TL’nin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ciddi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değer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kaybı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yaşadığı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büyümenin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düştüğü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bir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ortamda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normal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bir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gelişme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Hatta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ithalatın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daha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da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hızlı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gerilemesi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gerekirdi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Hizmet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giderleri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değişmediği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halde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hizmet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gelirleri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(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ki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bunun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içindeki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en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önemli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kalem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turizm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gelirleri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)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artış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göstermiş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ve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dolayısıyla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bu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olumlu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gelişme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lastRenderedPageBreak/>
        <w:t>ticaret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açığını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(mal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dengesi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)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törpüleyerek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düşürmüş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. (3)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Birincil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yatırım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kaynaklı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giderlerin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(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yurtdışında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yatırımlar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yurtdışı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portföy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yatırımları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gibi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)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yüksekliği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cari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açığın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yükselmesine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yol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açmış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. (4)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Bütün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bu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gelişmelerin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sonucunda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cari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açık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27</w:t>
      </w:r>
      <w:proofErr w:type="gramStart"/>
      <w:r w:rsidRPr="00076A94">
        <w:rPr>
          <w:rFonts w:ascii="Times New Roman" w:eastAsia="Times New Roman" w:hAnsi="Times New Roman" w:cs="Times New Roman"/>
          <w:sz w:val="21"/>
          <w:szCs w:val="21"/>
        </w:rPr>
        <w:t>,6</w:t>
      </w:r>
      <w:proofErr w:type="gram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milyar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dolar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olarak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gerçekleşmiş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076A94" w:rsidRPr="00076A94" w:rsidRDefault="00076A94" w:rsidP="00076A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076A94" w:rsidRPr="00076A94" w:rsidRDefault="00076A94" w:rsidP="00076A9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076A94">
        <w:rPr>
          <w:rFonts w:ascii="Times New Roman" w:eastAsia="Times New Roman" w:hAnsi="Times New Roman" w:cs="Times New Roman"/>
          <w:b/>
          <w:bCs/>
          <w:sz w:val="21"/>
          <w:szCs w:val="21"/>
        </w:rPr>
        <w:t>Cari</w:t>
      </w:r>
      <w:proofErr w:type="spellEnd"/>
      <w:r w:rsidRPr="00076A94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b/>
          <w:bCs/>
          <w:sz w:val="21"/>
          <w:szCs w:val="21"/>
        </w:rPr>
        <w:t>Açık</w:t>
      </w:r>
      <w:proofErr w:type="spellEnd"/>
      <w:r w:rsidRPr="00076A94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Normal </w:t>
      </w:r>
      <w:proofErr w:type="spellStart"/>
      <w:r w:rsidRPr="00076A94">
        <w:rPr>
          <w:rFonts w:ascii="Times New Roman" w:eastAsia="Times New Roman" w:hAnsi="Times New Roman" w:cs="Times New Roman"/>
          <w:b/>
          <w:bCs/>
          <w:sz w:val="21"/>
          <w:szCs w:val="21"/>
        </w:rPr>
        <w:t>Kanallarla</w:t>
      </w:r>
      <w:proofErr w:type="spellEnd"/>
      <w:r w:rsidRPr="00076A94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b/>
          <w:bCs/>
          <w:sz w:val="21"/>
          <w:szCs w:val="21"/>
        </w:rPr>
        <w:t>Finanse</w:t>
      </w:r>
      <w:proofErr w:type="spellEnd"/>
      <w:r w:rsidRPr="00076A94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b/>
          <w:bCs/>
          <w:sz w:val="21"/>
          <w:szCs w:val="21"/>
        </w:rPr>
        <w:t>Edilememiş</w:t>
      </w:r>
      <w:proofErr w:type="spellEnd"/>
    </w:p>
    <w:p w:rsidR="00076A94" w:rsidRPr="00076A94" w:rsidRDefault="00076A94" w:rsidP="00076A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Tabloya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göre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cari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açık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normal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kanallarla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finanse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edilememiş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Çünkü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finans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hesabı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yaklaşık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4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milyar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dolarlık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fazlayla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sonuçlanmış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Finans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hesabının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artı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kapanması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demek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Türkiye’den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yurtdışına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o </w:t>
      </w:r>
      <w:proofErr w:type="spellStart"/>
      <w:proofErr w:type="gramStart"/>
      <w:r w:rsidRPr="00076A94">
        <w:rPr>
          <w:rFonts w:ascii="Times New Roman" w:eastAsia="Times New Roman" w:hAnsi="Times New Roman" w:cs="Times New Roman"/>
          <w:sz w:val="21"/>
          <w:szCs w:val="21"/>
        </w:rPr>
        <w:t>kadar</w:t>
      </w:r>
      <w:proofErr w:type="spellEnd"/>
      <w:proofErr w:type="gram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döviz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çıkmış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demektir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proofErr w:type="gramStart"/>
      <w:r w:rsidRPr="00076A94">
        <w:rPr>
          <w:rFonts w:ascii="Times New Roman" w:eastAsia="Times New Roman" w:hAnsi="Times New Roman" w:cs="Times New Roman"/>
          <w:sz w:val="21"/>
          <w:szCs w:val="21"/>
        </w:rPr>
        <w:t>2018</w:t>
      </w:r>
      <w:proofErr w:type="gram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yılı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boyunca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Türkiye’ye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doğrudan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sermaye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yatırımı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portföy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yatırımı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diğer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yatırımlar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adı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altında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finansman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amaçlı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döviz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girişleri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olmuş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ama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döviz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çıkışları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daha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yüksek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olduğu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için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Türkiye’de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dışarı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yaklaşık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4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milyar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dolarlık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döviz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çıkmış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076A94" w:rsidRPr="00076A94" w:rsidRDefault="00076A94" w:rsidP="00076A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076A94" w:rsidRPr="00076A94" w:rsidRDefault="00076A94" w:rsidP="00076A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Bu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durumda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finansman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ihtiyacını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şöyle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hesaplayacağız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demektir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>:</w:t>
      </w:r>
    </w:p>
    <w:p w:rsidR="00076A94" w:rsidRPr="00076A94" w:rsidRDefault="00076A94" w:rsidP="00076A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076A94" w:rsidRPr="00076A94" w:rsidRDefault="00076A94" w:rsidP="00076A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Cari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Açık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+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Finansman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Hesabı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Açığı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=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Finanse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Edilmesi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Gereken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Miktar</w:t>
      </w:r>
      <w:proofErr w:type="spellEnd"/>
    </w:p>
    <w:p w:rsidR="00076A94" w:rsidRPr="00076A94" w:rsidRDefault="00076A94" w:rsidP="00076A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076A94" w:rsidRPr="00076A94" w:rsidRDefault="00076A94" w:rsidP="00076A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76A94">
        <w:rPr>
          <w:rFonts w:ascii="Times New Roman" w:eastAsia="Times New Roman" w:hAnsi="Times New Roman" w:cs="Times New Roman"/>
          <w:sz w:val="21"/>
          <w:szCs w:val="21"/>
        </w:rPr>
        <w:t>27.633 + 3.975 = 31.550</w:t>
      </w:r>
    </w:p>
    <w:p w:rsidR="00076A94" w:rsidRPr="00076A94" w:rsidRDefault="00076A94" w:rsidP="00076A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076A94" w:rsidRPr="00076A94" w:rsidRDefault="00076A94" w:rsidP="00076A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Demek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ki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2018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yılında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finanse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edilmesi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gereken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dış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açığımız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yaklaşık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olarak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31</w:t>
      </w:r>
      <w:proofErr w:type="gramStart"/>
      <w:r w:rsidRPr="00076A94">
        <w:rPr>
          <w:rFonts w:ascii="Times New Roman" w:eastAsia="Times New Roman" w:hAnsi="Times New Roman" w:cs="Times New Roman"/>
          <w:sz w:val="21"/>
          <w:szCs w:val="21"/>
        </w:rPr>
        <w:t>,6</w:t>
      </w:r>
      <w:proofErr w:type="gram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milyar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dolar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olmuş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076A94" w:rsidRPr="00076A94" w:rsidRDefault="00076A94" w:rsidP="00076A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076A94" w:rsidRPr="00076A94" w:rsidRDefault="00076A94" w:rsidP="00076A9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076A94">
        <w:rPr>
          <w:rFonts w:ascii="Times New Roman" w:eastAsia="Times New Roman" w:hAnsi="Times New Roman" w:cs="Times New Roman"/>
          <w:b/>
          <w:bCs/>
          <w:sz w:val="21"/>
          <w:szCs w:val="21"/>
        </w:rPr>
        <w:t>Finanse</w:t>
      </w:r>
      <w:proofErr w:type="spellEnd"/>
      <w:r w:rsidRPr="00076A94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b/>
          <w:bCs/>
          <w:sz w:val="21"/>
          <w:szCs w:val="21"/>
        </w:rPr>
        <w:t>Edilmesi</w:t>
      </w:r>
      <w:proofErr w:type="spellEnd"/>
      <w:r w:rsidRPr="00076A94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b/>
          <w:bCs/>
          <w:sz w:val="21"/>
          <w:szCs w:val="21"/>
        </w:rPr>
        <w:t>Gereken</w:t>
      </w:r>
      <w:proofErr w:type="spellEnd"/>
      <w:r w:rsidRPr="00076A94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b/>
          <w:bCs/>
          <w:sz w:val="21"/>
          <w:szCs w:val="21"/>
        </w:rPr>
        <w:t>Miktar</w:t>
      </w:r>
      <w:proofErr w:type="spellEnd"/>
      <w:r w:rsidRPr="00076A94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b/>
          <w:bCs/>
          <w:sz w:val="21"/>
          <w:szCs w:val="21"/>
        </w:rPr>
        <w:t>Nasıl</w:t>
      </w:r>
      <w:proofErr w:type="spellEnd"/>
      <w:r w:rsidRPr="00076A94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b/>
          <w:bCs/>
          <w:sz w:val="21"/>
          <w:szCs w:val="21"/>
        </w:rPr>
        <w:t>Kapatılmış</w:t>
      </w:r>
      <w:proofErr w:type="spellEnd"/>
      <w:r w:rsidRPr="00076A94">
        <w:rPr>
          <w:rFonts w:ascii="Times New Roman" w:eastAsia="Times New Roman" w:hAnsi="Times New Roman" w:cs="Times New Roman"/>
          <w:b/>
          <w:bCs/>
          <w:sz w:val="21"/>
          <w:szCs w:val="21"/>
        </w:rPr>
        <w:t>?</w:t>
      </w:r>
    </w:p>
    <w:p w:rsidR="00076A94" w:rsidRPr="00076A94" w:rsidRDefault="00076A94" w:rsidP="00076A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İşte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burada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yıllardır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olduğu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gibi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Net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Hata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ve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Noksan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Kalemi</w:t>
      </w:r>
      <w:bookmarkStart w:id="2" w:name="_ednref1"/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fldChar w:fldCharType="begin"/>
      </w:r>
      <w:r w:rsidRPr="00076A94">
        <w:rPr>
          <w:rFonts w:ascii="Times New Roman" w:eastAsia="Times New Roman" w:hAnsi="Times New Roman" w:cs="Times New Roman"/>
          <w:sz w:val="21"/>
          <w:szCs w:val="21"/>
        </w:rPr>
        <w:instrText xml:space="preserve"> HYPERLINK "file:///C:\\Users\\mahfi\\OneDrive\\Masa%C3%BCst%C3%BC\\Yaz%C4%B1%20Haz%C4%B1rl%C4%B1klar%C4%B1\\cari%20a%C3%A7%C4%B1k%20nas%C4%B1l%20finanse%20edildi.docx" \l "_edn1" \o "" </w:instrText>
      </w:r>
      <w:r w:rsidRPr="00076A94">
        <w:rPr>
          <w:rFonts w:ascii="Times New Roman" w:eastAsia="Times New Roman" w:hAnsi="Times New Roman" w:cs="Times New Roman"/>
          <w:sz w:val="21"/>
          <w:szCs w:val="21"/>
        </w:rPr>
        <w:fldChar w:fldCharType="separate"/>
      </w:r>
      <w:r w:rsidRPr="00076A94">
        <w:rPr>
          <w:rFonts w:ascii="Times New Roman" w:eastAsia="Times New Roman" w:hAnsi="Times New Roman" w:cs="Times New Roman"/>
          <w:color w:val="0B5394"/>
          <w:sz w:val="24"/>
          <w:szCs w:val="24"/>
        </w:rPr>
        <w:t>[</w:t>
      </w:r>
      <w:proofErr w:type="spellStart"/>
      <w:r w:rsidRPr="00076A94">
        <w:rPr>
          <w:rFonts w:ascii="Times New Roman" w:eastAsia="Times New Roman" w:hAnsi="Times New Roman" w:cs="Times New Roman"/>
          <w:color w:val="0B5394"/>
          <w:sz w:val="24"/>
          <w:szCs w:val="24"/>
        </w:rPr>
        <w:t>i</w:t>
      </w:r>
      <w:proofErr w:type="spellEnd"/>
      <w:r w:rsidRPr="00076A94">
        <w:rPr>
          <w:rFonts w:ascii="Times New Roman" w:eastAsia="Times New Roman" w:hAnsi="Times New Roman" w:cs="Times New Roman"/>
          <w:color w:val="0B5394"/>
          <w:sz w:val="24"/>
          <w:szCs w:val="24"/>
        </w:rPr>
        <w:t>]</w:t>
      </w:r>
      <w:r w:rsidRPr="00076A94">
        <w:rPr>
          <w:rFonts w:ascii="Times New Roman" w:eastAsia="Times New Roman" w:hAnsi="Times New Roman" w:cs="Times New Roman"/>
          <w:sz w:val="21"/>
          <w:szCs w:val="21"/>
        </w:rPr>
        <w:fldChar w:fldCharType="end"/>
      </w:r>
      <w:bookmarkEnd w:id="2"/>
      <w:r w:rsidRPr="00076A94">
        <w:rPr>
          <w:rFonts w:ascii="Times New Roman" w:eastAsia="Times New Roman" w:hAnsi="Times New Roman" w:cs="Times New Roman"/>
          <w:sz w:val="21"/>
          <w:szCs w:val="21"/>
        </w:rPr>
        <w:t> </w:t>
      </w:r>
      <w:proofErr w:type="spellStart"/>
      <w:proofErr w:type="gramStart"/>
      <w:r w:rsidRPr="00076A94">
        <w:rPr>
          <w:rFonts w:ascii="Times New Roman" w:eastAsia="Times New Roman" w:hAnsi="Times New Roman" w:cs="Times New Roman"/>
          <w:sz w:val="21"/>
          <w:szCs w:val="21"/>
        </w:rPr>
        <w:t>Türkiye’nin</w:t>
      </w:r>
      <w:proofErr w:type="spellEnd"/>
      <w:proofErr w:type="gram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imdadına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yetişiyor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. 2018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yılında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oluşan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31</w:t>
      </w:r>
      <w:proofErr w:type="gramStart"/>
      <w:r w:rsidRPr="00076A94">
        <w:rPr>
          <w:rFonts w:ascii="Times New Roman" w:eastAsia="Times New Roman" w:hAnsi="Times New Roman" w:cs="Times New Roman"/>
          <w:sz w:val="21"/>
          <w:szCs w:val="21"/>
        </w:rPr>
        <w:t>,6</w:t>
      </w:r>
      <w:proofErr w:type="gram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milyar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dolarlık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açığın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yaklaşık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21,2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milyar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dolarlık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bölümü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net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hata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ve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noksan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kalemiyle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kalan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yaklaşık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10,4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milyar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dolarlık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bölümü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ise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Merkez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Bankası’nın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rezervleri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kullanılarak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karşılanmış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076A94" w:rsidRPr="00076A94" w:rsidRDefault="00076A94" w:rsidP="00076A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076A94" w:rsidRPr="00076A94" w:rsidRDefault="00076A94" w:rsidP="00076A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Özetle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söylemek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gerekirse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dış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açığın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yaklaşık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üçte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ikisini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nasıl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karşıladığımızı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bilmiyoruz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üçte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birini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ise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Merkez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Bankası’nda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zor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günler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için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biriktirdiğimiz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dövizlerden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harcamışız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>.  </w:t>
      </w:r>
    </w:p>
    <w:p w:rsidR="00076A94" w:rsidRPr="00076A94" w:rsidRDefault="00076A94" w:rsidP="00076A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076A94" w:rsidRPr="00076A94" w:rsidRDefault="00076A94" w:rsidP="00076A9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076A94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Net </w:t>
      </w:r>
      <w:proofErr w:type="spellStart"/>
      <w:r w:rsidRPr="00076A94">
        <w:rPr>
          <w:rFonts w:ascii="Times New Roman" w:eastAsia="Times New Roman" w:hAnsi="Times New Roman" w:cs="Times New Roman"/>
          <w:b/>
          <w:bCs/>
          <w:sz w:val="21"/>
          <w:szCs w:val="21"/>
        </w:rPr>
        <w:t>Hata</w:t>
      </w:r>
      <w:proofErr w:type="spellEnd"/>
      <w:r w:rsidRPr="00076A94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b/>
          <w:bCs/>
          <w:sz w:val="21"/>
          <w:szCs w:val="21"/>
        </w:rPr>
        <w:t>ve</w:t>
      </w:r>
      <w:proofErr w:type="spellEnd"/>
      <w:r w:rsidRPr="00076A94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b/>
          <w:bCs/>
          <w:sz w:val="21"/>
          <w:szCs w:val="21"/>
        </w:rPr>
        <w:t>Noksan</w:t>
      </w:r>
      <w:proofErr w:type="spellEnd"/>
      <w:r w:rsidRPr="00076A94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b/>
          <w:bCs/>
          <w:sz w:val="21"/>
          <w:szCs w:val="21"/>
        </w:rPr>
        <w:t>Neyi</w:t>
      </w:r>
      <w:proofErr w:type="spellEnd"/>
      <w:r w:rsidRPr="00076A94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b/>
          <w:bCs/>
          <w:sz w:val="21"/>
          <w:szCs w:val="21"/>
        </w:rPr>
        <w:t>Hatası</w:t>
      </w:r>
      <w:proofErr w:type="spellEnd"/>
      <w:r w:rsidRPr="00076A94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b/>
          <w:bCs/>
          <w:sz w:val="21"/>
          <w:szCs w:val="21"/>
        </w:rPr>
        <w:t>veya</w:t>
      </w:r>
      <w:proofErr w:type="spellEnd"/>
      <w:r w:rsidRPr="00076A94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b/>
          <w:bCs/>
          <w:sz w:val="21"/>
          <w:szCs w:val="21"/>
        </w:rPr>
        <w:t>Noksanıdır</w:t>
      </w:r>
      <w:proofErr w:type="spellEnd"/>
      <w:r w:rsidRPr="00076A94">
        <w:rPr>
          <w:rFonts w:ascii="Times New Roman" w:eastAsia="Times New Roman" w:hAnsi="Times New Roman" w:cs="Times New Roman"/>
          <w:b/>
          <w:bCs/>
          <w:sz w:val="21"/>
          <w:szCs w:val="21"/>
        </w:rPr>
        <w:t>?</w:t>
      </w:r>
    </w:p>
    <w:p w:rsidR="00076A94" w:rsidRPr="00076A94" w:rsidRDefault="00076A94" w:rsidP="00076A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Net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hata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ve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noksanın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nasıl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doğduğunu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yazının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altındaki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notta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bir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kez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daha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açıkladım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Bunların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hepsi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her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ülkede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olabilecek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şeyler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o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nedenle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de her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ülkenin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ödemeler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dengesinde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net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hata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ve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noksan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kalemi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bulunuyor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. Ne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var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ki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bir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ülkenin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dış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açığının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üçte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ikisi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net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hata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ve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noksan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ile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bir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başka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ifadeyle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kayıt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dışı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kalemlerle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karşılanmışsa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bunun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açıklaması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yazının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altındaki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notta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yer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proofErr w:type="gramStart"/>
      <w:r w:rsidRPr="00076A94">
        <w:rPr>
          <w:rFonts w:ascii="Times New Roman" w:eastAsia="Times New Roman" w:hAnsi="Times New Roman" w:cs="Times New Roman"/>
          <w:sz w:val="21"/>
          <w:szCs w:val="21"/>
        </w:rPr>
        <w:t>alan</w:t>
      </w:r>
      <w:proofErr w:type="spellEnd"/>
      <w:proofErr w:type="gram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hususlarla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yapılamaz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. O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halde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bu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kalemin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asıl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büyük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bölümü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nereden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geliyor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>?</w:t>
      </w:r>
    </w:p>
    <w:p w:rsidR="00076A94" w:rsidRPr="00076A94" w:rsidRDefault="00076A94" w:rsidP="00076A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076A94" w:rsidRPr="00076A94" w:rsidRDefault="00076A94" w:rsidP="00076A94">
      <w:pPr>
        <w:spacing w:after="24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Ben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kendi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tahminimi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yazayım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Türklerin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yurt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dışında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paraları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var. Bu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paralar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yurt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dışı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bankalarda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tutuluyor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ve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Türkiye’de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kayıtlı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değil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İşler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bozulup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da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borçlar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içeride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kayıtlı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paralardan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ödenemeyince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yurtdışından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bu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kayıt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dışı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veya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henüz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kayda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girmemiş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paralarla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ödeniyor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ve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dolayısıyla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kayıt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dışı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oldukları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için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de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ödemeler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net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hata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ve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noksan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olarak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yazılıyor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>. </w:t>
      </w:r>
    </w:p>
    <w:p w:rsidR="00076A94" w:rsidRPr="00076A94" w:rsidRDefault="00076A94" w:rsidP="00076A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proofErr w:type="gramStart"/>
      <w:r w:rsidRPr="00076A94">
        <w:rPr>
          <w:rFonts w:ascii="Times New Roman" w:eastAsia="Times New Roman" w:hAnsi="Times New Roman" w:cs="Times New Roman"/>
          <w:sz w:val="21"/>
          <w:szCs w:val="21"/>
        </w:rPr>
        <w:t>A’nın</w:t>
      </w:r>
      <w:proofErr w:type="spellEnd"/>
      <w:proofErr w:type="gram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yurtdışına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dolar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borcu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olduğunu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düşünelim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. Bu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borcu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vadesi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geldiğinde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TL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karşılığını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bankaya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yatırıp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dolar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satın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alarak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ya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da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bankadaki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dolar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hesabı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varsa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proofErr w:type="gramStart"/>
      <w:r w:rsidRPr="00076A94">
        <w:rPr>
          <w:rFonts w:ascii="Times New Roman" w:eastAsia="Times New Roman" w:hAnsi="Times New Roman" w:cs="Times New Roman"/>
          <w:sz w:val="21"/>
          <w:szCs w:val="21"/>
        </w:rPr>
        <w:t>oran</w:t>
      </w:r>
      <w:proofErr w:type="spellEnd"/>
      <w:proofErr w:type="gram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talimat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vererek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ödeyebilir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(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şemada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1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numaralı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durum.)</w:t>
      </w:r>
    </w:p>
    <w:p w:rsidR="00076A94" w:rsidRPr="00076A94" w:rsidRDefault="00076A94" w:rsidP="00076A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076A94" w:rsidRPr="00076A94" w:rsidRDefault="00076A94" w:rsidP="00076A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76A94">
        <w:rPr>
          <w:rFonts w:ascii="Times New Roman" w:eastAsia="Times New Roman" w:hAnsi="Times New Roman" w:cs="Times New Roman"/>
          <w:noProof/>
          <w:color w:val="0B5394"/>
          <w:sz w:val="21"/>
          <w:szCs w:val="21"/>
        </w:rPr>
        <w:lastRenderedPageBreak/>
        <w:drawing>
          <wp:inline distT="0" distB="0" distL="0" distR="0" wp14:anchorId="689EE61D" wp14:editId="71EEC1A3">
            <wp:extent cx="4048125" cy="1895475"/>
            <wp:effectExtent l="0" t="0" r="9525" b="9525"/>
            <wp:docPr id="3" name="Picture 3" descr="https://3.bp.blogspot.com/-fMS60awMSM0/XGWUuQ3IT-I/AAAAAAAAY9o/bg-Vzb5EaxkEj3rsoPElAXlkAr0qEh4KwCLcBGAs/s1600/Ekran%2BAl%25C4%25B1nt%25C4%25B1s%25C4%25B1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3.bp.blogspot.com/-fMS60awMSM0/XGWUuQ3IT-I/AAAAAAAAY9o/bg-Vzb5EaxkEj3rsoPElAXlkAr0qEh4KwCLcBGAs/s1600/Ekran%2BAl%25C4%25B1nt%25C4%25B1s%25C4%25B1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A94" w:rsidRPr="00076A94" w:rsidRDefault="00076A94" w:rsidP="00076A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076A94" w:rsidRPr="00076A94" w:rsidRDefault="00076A94" w:rsidP="00076A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proofErr w:type="gramStart"/>
      <w:r w:rsidRPr="00076A94">
        <w:rPr>
          <w:rFonts w:ascii="Times New Roman" w:eastAsia="Times New Roman" w:hAnsi="Times New Roman" w:cs="Times New Roman"/>
          <w:sz w:val="21"/>
          <w:szCs w:val="21"/>
        </w:rPr>
        <w:t>A’nın</w:t>
      </w:r>
      <w:proofErr w:type="spellEnd"/>
      <w:proofErr w:type="gram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Türkiye’de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parası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kalmadığını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ama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Türkiye’ye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bildirerek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yurtdışındaki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bankasına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yatırdığı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parasının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olduğunu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düşünelim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. Bu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durumda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dış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borcunu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bu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parasının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bir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bölümünü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Türkiye’ye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getirip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transfer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ederek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(2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ve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sonra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1)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ya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da yurt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dışındaki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bankasından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direkt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transfer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ederek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(3)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ödeyebilir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proofErr w:type="spellStart"/>
      <w:proofErr w:type="gramStart"/>
      <w:r w:rsidRPr="00076A94">
        <w:rPr>
          <w:rFonts w:ascii="Times New Roman" w:eastAsia="Times New Roman" w:hAnsi="Times New Roman" w:cs="Times New Roman"/>
          <w:sz w:val="21"/>
          <w:szCs w:val="21"/>
        </w:rPr>
        <w:t>A’nın</w:t>
      </w:r>
      <w:proofErr w:type="spellEnd"/>
      <w:proofErr w:type="gram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Türkiye’de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parasının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kalmadığını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buna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karşılık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yurtdışında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bir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bankada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Türkiye’ye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beyan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etmediği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parası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olduğunu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düşünelim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. Bu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durumda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borcunu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bu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hesaptan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öderse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(4)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bu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işlem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Türkiye’de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kayıt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almaz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076A94" w:rsidRPr="00076A94" w:rsidRDefault="00076A94" w:rsidP="00076A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076A94" w:rsidRPr="00076A94" w:rsidRDefault="00076A94" w:rsidP="00076A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Şemada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1, 2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ve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3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numaralı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yollarla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yapılan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ödemeler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ödemeler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dengesinde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normal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kalemlerde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yer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alır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Çünkü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bunlar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proofErr w:type="gramStart"/>
      <w:r w:rsidRPr="00076A94">
        <w:rPr>
          <w:rFonts w:ascii="Times New Roman" w:eastAsia="Times New Roman" w:hAnsi="Times New Roman" w:cs="Times New Roman"/>
          <w:sz w:val="21"/>
          <w:szCs w:val="21"/>
        </w:rPr>
        <w:t>Türkiye’nin</w:t>
      </w:r>
      <w:proofErr w:type="spellEnd"/>
      <w:proofErr w:type="gram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kayıtlarına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dahildir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. Buna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karşılık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4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numaralı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ödeme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ödemeler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dengesinde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net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hata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ve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noksan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kaleminde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yer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alır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Çünkü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bu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ödeme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proofErr w:type="gramStart"/>
      <w:r w:rsidRPr="00076A94">
        <w:rPr>
          <w:rFonts w:ascii="Times New Roman" w:eastAsia="Times New Roman" w:hAnsi="Times New Roman" w:cs="Times New Roman"/>
          <w:sz w:val="21"/>
          <w:szCs w:val="21"/>
        </w:rPr>
        <w:t>Türkiye’nin</w:t>
      </w:r>
      <w:proofErr w:type="spellEnd"/>
      <w:proofErr w:type="gram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bilgisi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dışındaki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bir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yurt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dışı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hesabından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transfer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edilerek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ödenmiştir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>.  </w:t>
      </w:r>
    </w:p>
    <w:p w:rsidR="00076A94" w:rsidRPr="00076A94" w:rsidRDefault="00076A94" w:rsidP="00076A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076A94" w:rsidRPr="00076A94" w:rsidRDefault="00076A94" w:rsidP="00076A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Tahminimce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son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dönemde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içeriden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ödeme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sıkıntısı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artınca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da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kayıt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dışı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ödemeler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arttığı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için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net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hata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ve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noksan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kalemi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76A94">
        <w:rPr>
          <w:rFonts w:ascii="Times New Roman" w:eastAsia="Times New Roman" w:hAnsi="Times New Roman" w:cs="Times New Roman"/>
          <w:sz w:val="21"/>
          <w:szCs w:val="21"/>
        </w:rPr>
        <w:t>yükseldi</w:t>
      </w:r>
      <w:proofErr w:type="spellEnd"/>
      <w:r w:rsidRPr="00076A94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076A94" w:rsidRPr="00076A94" w:rsidRDefault="00076A94" w:rsidP="00076A9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076A94">
        <w:rPr>
          <w:rFonts w:ascii="Times New Roman" w:eastAsia="Times New Roman" w:hAnsi="Times New Roman" w:cs="Times New Roman"/>
          <w:sz w:val="21"/>
          <w:szCs w:val="21"/>
        </w:rPr>
        <w:br w:type="textWrapping" w:clear="all"/>
      </w:r>
    </w:p>
    <w:p w:rsidR="00076A94" w:rsidRPr="00076A94" w:rsidRDefault="00076A94" w:rsidP="00076A9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076A94">
        <w:rPr>
          <w:rFonts w:ascii="Times New Roman" w:eastAsia="Times New Roman" w:hAnsi="Times New Roman" w:cs="Times New Roman"/>
          <w:sz w:val="21"/>
          <w:szCs w:val="21"/>
        </w:rPr>
        <w:pict>
          <v:rect id="_x0000_i1025" style="width:154.45pt;height:.75pt" o:hrpct="330" o:hrstd="t" o:hr="t" fillcolor="#a0a0a0" stroked="f"/>
        </w:pict>
      </w:r>
    </w:p>
    <w:p w:rsidR="00076A94" w:rsidRPr="00076A94" w:rsidRDefault="00076A94" w:rsidP="00076A9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bookmarkStart w:id="3" w:name="_edn1"/>
    <w:p w:rsidR="00076A94" w:rsidRPr="00076A94" w:rsidRDefault="00076A94" w:rsidP="00076A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76A94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076A94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"file:///C:\\Users\\mahfi\\OneDrive\\Masa%C3%BCst%C3%BC\\Yaz%C4%B1%20Haz%C4%B1rl%C4%B1klar%C4%B1\\cari%20a%C3%A7%C4%B1k%20nas%C4%B1l%20finanse%20edildi.docx" \l "_ednref1" \o "" </w:instrText>
      </w:r>
      <w:r w:rsidRPr="00076A94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 w:rsidRPr="00076A94">
        <w:rPr>
          <w:rFonts w:ascii="Times New Roman" w:eastAsia="Times New Roman" w:hAnsi="Times New Roman" w:cs="Times New Roman"/>
          <w:color w:val="0B5394"/>
          <w:sz w:val="24"/>
          <w:szCs w:val="24"/>
        </w:rPr>
        <w:t>[</w:t>
      </w:r>
      <w:proofErr w:type="spellStart"/>
      <w:r w:rsidRPr="00076A94">
        <w:rPr>
          <w:rFonts w:ascii="Times New Roman" w:eastAsia="Times New Roman" w:hAnsi="Times New Roman" w:cs="Times New Roman"/>
          <w:color w:val="0B5394"/>
          <w:sz w:val="24"/>
          <w:szCs w:val="24"/>
        </w:rPr>
        <w:t>i</w:t>
      </w:r>
      <w:proofErr w:type="spellEnd"/>
      <w:r w:rsidRPr="00076A94">
        <w:rPr>
          <w:rFonts w:ascii="Times New Roman" w:eastAsia="Times New Roman" w:hAnsi="Times New Roman" w:cs="Times New Roman"/>
          <w:color w:val="0B5394"/>
          <w:sz w:val="24"/>
          <w:szCs w:val="24"/>
        </w:rPr>
        <w:t>]</w:t>
      </w:r>
      <w:r w:rsidRPr="00076A94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  <w:bookmarkEnd w:id="3"/>
      <w:r w:rsidRPr="00076A94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Ödemeler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dengesi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tablolarında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yer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alan</w:t>
      </w:r>
      <w:proofErr w:type="spellEnd"/>
      <w:proofErr w:type="gram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net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hata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ve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noksan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kalemi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kaynağı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belirlenemeyen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döviz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giriş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veya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çıkışlarını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ifade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eder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Ödemeler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dengesi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toplamı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sıfıra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eşit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bir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dengedir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Dış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dünyadan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mal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ve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hizmet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satın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alınır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gider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yapılır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ve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dış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dünyaya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mal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ve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hizmet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satılır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gelir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sağlanır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. Bu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alım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-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satım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ve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gelir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-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giderin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oluşturduğu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dengeye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cari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denge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denir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Cari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denge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açık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vermişse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finansman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dengesinde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bu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açığın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nasıl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karşılandığı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borç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sermaye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girişi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hisse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senedi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satışı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vb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yer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alır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. Bu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ikisi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arasında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bir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tutarsızlık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varsa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bu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fark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net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hata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ve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noksan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kalemine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yazılır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. Net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hata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ve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noksan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kalemi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kaynağı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bilinmeyen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bir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döviz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girişi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veya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çıkışı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olduğu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anlamına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gelir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>.</w:t>
      </w:r>
      <w:bookmarkEnd w:id="1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 Net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hata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ve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noksan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kalemi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genel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olarak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ölçüm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hataları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ve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tablodaki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verilerin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eksik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veya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fazla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derlenmesinden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kaynaklanır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. Net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hata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ve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noksan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kaleminin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oluşmasının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nedenleri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arasında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şunları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sayabiliriz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: (1) Zaman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uyumsuzlukları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İhraç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edilmiş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malın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gidiş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tarihiyle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ihraç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edilen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mal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karşılığında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alınacak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paranın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gelişinin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farklı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dönemlerde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olması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gibi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.) (2)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Beyan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yanlışlıkları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veya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hataları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Gümrük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beyanlarındaki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eksikler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ya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da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yanlışlar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gibi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.) (3)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Kayıt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dışılıklar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Gelirlerin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kayda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girmemesi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ya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da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finansmanın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kayıt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dışı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olarak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gerçekleştirilmesi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gibi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.) (4)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Anketlerdeki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ölçüm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hataları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Turizm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gelirlerinin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belirlenmesinde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uygulanan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anketlerin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gerçeği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tam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olarak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yansıtamaması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6A94">
        <w:rPr>
          <w:rFonts w:ascii="Arial" w:eastAsia="Times New Roman" w:hAnsi="Arial" w:cs="Arial"/>
          <w:color w:val="000000"/>
          <w:sz w:val="18"/>
          <w:szCs w:val="18"/>
        </w:rPr>
        <w:t>gibi</w:t>
      </w:r>
      <w:proofErr w:type="spellEnd"/>
      <w:r w:rsidRPr="00076A94">
        <w:rPr>
          <w:rFonts w:ascii="Arial" w:eastAsia="Times New Roman" w:hAnsi="Arial" w:cs="Arial"/>
          <w:color w:val="000000"/>
          <w:sz w:val="18"/>
          <w:szCs w:val="18"/>
        </w:rPr>
        <w:t>.)</w:t>
      </w:r>
    </w:p>
    <w:p w:rsidR="0001180A" w:rsidRDefault="00076A94"/>
    <w:sectPr w:rsidR="00011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TUR"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94"/>
    <w:rsid w:val="00076A94"/>
    <w:rsid w:val="00880885"/>
    <w:rsid w:val="009B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590CB"/>
  <w15:chartTrackingRefBased/>
  <w15:docId w15:val="{E319C307-7F9C-4854-AD4E-1248571D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4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1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1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9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5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3.bp.blogspot.com/-fMS60awMSM0/XGWUuQ3IT-I/AAAAAAAAY9o/bg-Vzb5EaxkEj3rsoPElAXlkAr0qEh4KwCLcBGAs/s1600/Ekran+Al%C4%B1nt%C4%B1s%C4%B1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1184</Words>
  <Characters>6749</Characters>
  <Application>Microsoft Office Word</Application>
  <DocSecurity>0</DocSecurity>
  <Lines>56</Lines>
  <Paragraphs>15</Paragraphs>
  <ScaleCrop>false</ScaleCrop>
  <Company>Hewlett-Packard</Company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Nihal Tuncer</dc:creator>
  <cp:keywords/>
  <dc:description/>
  <cp:lastModifiedBy>Nihal Tuncer</cp:lastModifiedBy>
  <cp:revision>1</cp:revision>
  <dcterms:created xsi:type="dcterms:W3CDTF">2019-02-18T20:00:00Z</dcterms:created>
  <dcterms:modified xsi:type="dcterms:W3CDTF">2019-02-18T20:03:00Z</dcterms:modified>
</cp:coreProperties>
</file>